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3"/>
        <w:jc w:val="center"/>
      </w:pPr>
      <w:r>
        <w:rPr>
          <w:rFonts w:ascii="Cambria" w:hAnsi="Cambria"/>
          <w:b w:val="0"/>
          <w:i/>
          <w:caps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71304" cy="1991169"/>
                <wp:effectExtent l="0" t="0" r="0" b="0"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UGMRN.gif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971304" cy="1991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5.22pt;height:156.78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pStyle w:val="893"/>
        <w:jc w:val="center"/>
        <w:rPr>
          <w:color w:val="auto"/>
          <w:lang w:val="en-US"/>
        </w:rPr>
      </w:pPr>
      <w:r>
        <w:rPr>
          <w:color w:val="auto"/>
          <w:lang w:val="en-US"/>
        </w:rPr>
      </w:r>
      <w:r>
        <w:rPr>
          <w:color w:val="auto"/>
          <w:lang w:val="en-US"/>
        </w:rPr>
      </w:r>
      <w:r>
        <w:rPr>
          <w:color w:val="auto"/>
          <w:lang w:val="en-US"/>
        </w:rPr>
      </w:r>
    </w:p>
    <w:p>
      <w:pPr>
        <w:pStyle w:val="900"/>
        <w:ind w:firstLine="0"/>
        <w:jc w:val="center"/>
        <w:spacing w:before="0" w:after="0" w:line="480" w:lineRule="auto"/>
        <w:rPr>
          <w:i w:val="0"/>
        </w:rPr>
      </w:pPr>
      <w:r>
        <w:rPr>
          <w:i w:val="0"/>
        </w:rPr>
        <w:t xml:space="preserve">Министерство транспорта Российской Федерации</w:t>
      </w:r>
      <w:r>
        <w:rPr>
          <w:i w:val="0"/>
        </w:rPr>
      </w:r>
      <w:r>
        <w:rPr>
          <w:i w:val="0"/>
        </w:rPr>
      </w:r>
    </w:p>
    <w:p>
      <w:pPr>
        <w:pStyle w:val="900"/>
        <w:ind w:firstLine="0"/>
        <w:jc w:val="center"/>
        <w:spacing w:before="0" w:after="0" w:line="480" w:lineRule="auto"/>
        <w:rPr>
          <w:i w:val="0"/>
        </w:rPr>
      </w:pPr>
      <w:r>
        <w:rPr>
          <w:i w:val="0"/>
        </w:rPr>
        <w:t xml:space="preserve">Межрегиональное территориальное Управление Федеральной службы по надзору в сфере транспорта по Приволжскому федеральному округу. </w:t>
      </w:r>
      <w:r>
        <w:rPr>
          <w:i w:val="0"/>
        </w:rPr>
      </w:r>
      <w:r>
        <w:rPr>
          <w:i w:val="0"/>
        </w:rPr>
      </w:r>
    </w:p>
    <w:p>
      <w:pPr>
        <w:pStyle w:val="900"/>
        <w:ind w:firstLine="0"/>
        <w:jc w:val="center"/>
        <w:spacing w:before="0" w:after="0" w:line="480" w:lineRule="auto"/>
        <w:rPr>
          <w:i w:val="0"/>
        </w:rPr>
      </w:pPr>
      <w:r>
        <w:rPr>
          <w:i w:val="0"/>
        </w:rPr>
      </w:r>
      <w:r>
        <w:rPr>
          <w:i w:val="0"/>
        </w:rPr>
      </w:r>
      <w:r>
        <w:rPr>
          <w:i w:val="0"/>
        </w:rPr>
      </w:r>
    </w:p>
    <w:p>
      <w:pPr>
        <w:pStyle w:val="900"/>
        <w:ind w:firstLine="0"/>
        <w:jc w:val="center"/>
        <w:spacing w:before="0" w:after="0" w:line="240" w:lineRule="auto"/>
        <w:rPr>
          <w:i w:val="0"/>
        </w:rPr>
      </w:pPr>
      <w:r>
        <w:rPr>
          <w:i w:val="0"/>
        </w:rPr>
      </w:r>
      <w:r>
        <w:rPr>
          <w:i w:val="0"/>
        </w:rPr>
      </w:r>
      <w:r>
        <w:rPr>
          <w:i w:val="0"/>
        </w:rPr>
      </w:r>
    </w:p>
    <w:p>
      <w:pPr>
        <w:pStyle w:val="900"/>
        <w:ind w:firstLine="0"/>
        <w:jc w:val="center"/>
        <w:spacing w:before="0" w:after="0" w:line="240" w:lineRule="auto"/>
        <w:rPr>
          <w:i w:val="0"/>
        </w:rPr>
      </w:pPr>
      <w:r>
        <w:rPr>
          <w:i w:val="0"/>
        </w:rPr>
      </w:r>
      <w:r>
        <w:rPr>
          <w:i w:val="0"/>
        </w:rPr>
      </w:r>
      <w:r>
        <w:rPr>
          <w:i w:val="0"/>
        </w:rPr>
      </w:r>
    </w:p>
    <w:p>
      <w:pPr>
        <w:pStyle w:val="900"/>
        <w:ind w:firstLine="0"/>
        <w:jc w:val="center"/>
        <w:spacing w:before="0" w:after="0" w:line="240" w:lineRule="auto"/>
        <w:rPr>
          <w:i w:val="0"/>
        </w:rPr>
      </w:pPr>
      <w:r>
        <w:rPr>
          <w:i w:val="0"/>
        </w:rPr>
      </w:r>
      <w:r>
        <w:rPr>
          <w:i w:val="0"/>
        </w:rPr>
      </w:r>
      <w:r>
        <w:rPr>
          <w:i w:val="0"/>
        </w:rPr>
      </w:r>
    </w:p>
    <w:p>
      <w:pPr>
        <w:pStyle w:val="900"/>
        <w:ind w:firstLine="0"/>
        <w:jc w:val="center"/>
        <w:spacing w:before="0" w:after="0" w:line="240" w:lineRule="auto"/>
        <w:rPr>
          <w:i w:val="0"/>
        </w:rPr>
      </w:pPr>
      <w:r>
        <w:rPr>
          <w:i w:val="0"/>
        </w:rPr>
      </w:r>
      <w:r>
        <w:rPr>
          <w:i w:val="0"/>
        </w:rPr>
      </w:r>
      <w:r>
        <w:rPr>
          <w:i w:val="0"/>
        </w:rPr>
      </w:r>
    </w:p>
    <w:p>
      <w:pPr>
        <w:pStyle w:val="900"/>
        <w:ind w:firstLine="0"/>
        <w:jc w:val="center"/>
        <w:spacing w:before="0" w:after="0" w:line="360" w:lineRule="auto"/>
        <w:rPr>
          <w:i w:val="0"/>
        </w:rPr>
      </w:pPr>
      <w:r>
        <w:rPr>
          <w:i w:val="0"/>
        </w:rPr>
        <w:t xml:space="preserve">ДОКЛАД</w:t>
      </w:r>
      <w:r>
        <w:rPr>
          <w:i w:val="0"/>
        </w:rPr>
      </w:r>
      <w:r>
        <w:rPr>
          <w:i w:val="0"/>
        </w:rPr>
      </w:r>
    </w:p>
    <w:p>
      <w:pPr>
        <w:pStyle w:val="900"/>
        <w:ind w:firstLine="0"/>
        <w:jc w:val="center"/>
        <w:spacing w:before="0" w:after="0" w:line="360" w:lineRule="auto"/>
        <w:rPr>
          <w:i w:val="0"/>
        </w:rPr>
      </w:pPr>
      <w:r>
        <w:rPr>
          <w:i w:val="0"/>
        </w:rPr>
        <w:t xml:space="preserve">по правоприменительной пр</w:t>
      </w:r>
      <w:r>
        <w:rPr>
          <w:i w:val="0"/>
        </w:rPr>
        <w:t xml:space="preserve">актике </w:t>
      </w:r>
      <w:r>
        <w:rPr>
          <w:i w:val="0"/>
        </w:rPr>
      </w:r>
      <w:r>
        <w:rPr>
          <w:i w:val="0"/>
        </w:rPr>
      </w:r>
    </w:p>
    <w:p>
      <w:pPr>
        <w:pStyle w:val="900"/>
        <w:ind w:firstLine="0"/>
        <w:jc w:val="center"/>
        <w:spacing w:before="0" w:after="0" w:line="360" w:lineRule="auto"/>
        <w:rPr>
          <w:i w:val="0"/>
        </w:rPr>
      </w:pPr>
      <w:r>
        <w:rPr>
          <w:i w:val="0"/>
        </w:rPr>
        <w:t xml:space="preserve">I квартал и 4 месяца</w:t>
      </w:r>
      <w:r>
        <w:rPr>
          <w:i w:val="0"/>
        </w:rPr>
        <w:t xml:space="preserve"> 20</w:t>
      </w:r>
      <w:r>
        <w:rPr>
          <w:i w:val="0"/>
        </w:rPr>
        <w:t xml:space="preserve">25</w:t>
      </w:r>
      <w:r>
        <w:rPr>
          <w:i w:val="0"/>
        </w:rPr>
        <w:t xml:space="preserve"> года.</w:t>
      </w:r>
      <w:r>
        <w:rPr>
          <w:i w:val="0"/>
        </w:rPr>
      </w:r>
      <w:r>
        <w:rPr>
          <w:i w:val="0"/>
        </w:rPr>
      </w:r>
    </w:p>
    <w:p>
      <w:pPr>
        <w:pStyle w:val="900"/>
        <w:ind w:firstLine="0"/>
        <w:jc w:val="center"/>
        <w:spacing w:before="0" w:after="0" w:line="360" w:lineRule="auto"/>
        <w:rPr>
          <w:i w:val="0"/>
        </w:rPr>
      </w:pPr>
      <w:r>
        <w:rPr>
          <w:i w:val="0"/>
        </w:rPr>
        <w:t xml:space="preserve">Федеральный государственный контроль (надзор) в области железнодорожного транспорта</w:t>
      </w:r>
      <w:r>
        <w:rPr>
          <w:i w:val="0"/>
        </w:rPr>
      </w:r>
      <w:r>
        <w:rPr>
          <w:i w:val="0"/>
        </w:rPr>
      </w:r>
    </w:p>
    <w:p>
      <w:pPr>
        <w:pStyle w:val="893"/>
        <w:jc w:val="center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center"/>
        <w:rPr>
          <w:rFonts w:ascii="Times New Roman" w:hAnsi="Times New Roman" w:eastAsia="Times New Roman"/>
          <w:b/>
          <w:bCs/>
          <w:iCs/>
          <w:sz w:val="28"/>
          <w:szCs w:val="28"/>
        </w:rPr>
      </w:pPr>
      <w:r>
        <w:rPr>
          <w:rFonts w:ascii="Times New Roman" w:hAnsi="Times New Roman" w:eastAsia="Times New Roman"/>
          <w:b/>
          <w:bCs/>
          <w:iCs/>
          <w:sz w:val="28"/>
          <w:szCs w:val="28"/>
        </w:rPr>
        <w:t xml:space="preserve">г. </w:t>
      </w:r>
      <w:r>
        <w:rPr>
          <w:rFonts w:ascii="Times New Roman" w:hAnsi="Times New Roman" w:eastAsia="Times New Roman"/>
          <w:b/>
          <w:bCs/>
          <w:iCs/>
          <w:sz w:val="28"/>
          <w:szCs w:val="28"/>
        </w:rPr>
        <w:t xml:space="preserve">Ульяновск</w:t>
      </w:r>
      <w:r>
        <w:rPr>
          <w:rFonts w:ascii="Times New Roman" w:hAnsi="Times New Roman" w:eastAsia="Times New Roman"/>
          <w:b/>
          <w:bCs/>
          <w:iCs/>
          <w:sz w:val="28"/>
          <w:szCs w:val="28"/>
        </w:rPr>
      </w:r>
      <w:r>
        <w:rPr>
          <w:rFonts w:ascii="Times New Roman" w:hAnsi="Times New Roman" w:eastAsia="Times New Roman"/>
          <w:b/>
          <w:bCs/>
          <w:iCs/>
          <w:sz w:val="28"/>
          <w:szCs w:val="28"/>
        </w:rPr>
      </w:r>
    </w:p>
    <w:p>
      <w:pPr>
        <w:jc w:val="center"/>
        <w:rPr>
          <w:rFonts w:ascii="Times New Roman" w:hAnsi="Times New Roman" w:eastAsia="Times New Roman"/>
          <w:b/>
          <w:bCs/>
          <w:iCs/>
          <w:sz w:val="28"/>
          <w:szCs w:val="28"/>
        </w:rPr>
      </w:pPr>
      <w:r>
        <w:rPr>
          <w:rFonts w:ascii="Times New Roman" w:hAnsi="Times New Roman" w:eastAsia="Times New Roman"/>
          <w:b/>
          <w:bCs/>
          <w:iCs/>
          <w:sz w:val="28"/>
          <w:szCs w:val="28"/>
        </w:rPr>
        <w:t xml:space="preserve">202</w:t>
      </w:r>
      <w:r>
        <w:rPr>
          <w:rFonts w:ascii="Times New Roman" w:hAnsi="Times New Roman" w:eastAsia="Times New Roman"/>
          <w:b/>
          <w:bCs/>
          <w:iCs/>
          <w:sz w:val="28"/>
          <w:szCs w:val="28"/>
        </w:rPr>
        <w:t xml:space="preserve">5</w:t>
      </w:r>
      <w:r>
        <w:rPr>
          <w:rFonts w:ascii="Times New Roman" w:hAnsi="Times New Roman" w:eastAsia="Times New Roman"/>
          <w:b/>
          <w:bCs/>
          <w:iCs/>
          <w:sz w:val="28"/>
          <w:szCs w:val="28"/>
        </w:rPr>
        <w:t xml:space="preserve"> год</w:t>
      </w:r>
      <w:r>
        <w:rPr>
          <w:rFonts w:ascii="Times New Roman" w:hAnsi="Times New Roman" w:eastAsia="Times New Roman"/>
          <w:b/>
          <w:bCs/>
          <w:iCs/>
          <w:sz w:val="28"/>
          <w:szCs w:val="28"/>
        </w:rPr>
      </w:r>
      <w:r>
        <w:rPr>
          <w:rFonts w:ascii="Times New Roman" w:hAnsi="Times New Roman" w:eastAsia="Times New Roman"/>
          <w:b/>
          <w:bCs/>
          <w:iCs/>
          <w:sz w:val="28"/>
          <w:szCs w:val="28"/>
        </w:rPr>
      </w:r>
    </w:p>
    <w:p>
      <w:pPr>
        <w:ind w:left="-567" w:firstLine="1276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7"/>
        <w:numPr>
          <w:ilvl w:val="0"/>
          <w:numId w:val="24"/>
        </w:numPr>
        <w:jc w:val="center"/>
        <w:spacing w:after="0" w:line="240" w:lineRule="auto"/>
        <w:widowControl w:val="o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положения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97"/>
        <w:jc w:val="center"/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доклад составлен в целях реализации пункта 4.3 паспорта ведомственного приоритетного проекта Федеральной службы по надзору в сфер</w:t>
      </w:r>
      <w:r>
        <w:rPr>
          <w:rFonts w:ascii="Times New Roman" w:hAnsi="Times New Roman"/>
          <w:sz w:val="28"/>
          <w:szCs w:val="28"/>
        </w:rPr>
        <w:t xml:space="preserve">е транспорта на основании Методических рекомендаций по организации и проведению публичных обсуждений результатов правоприменительной практики, Распоряжения руководителя Федеральной службы по надзору в сфере транспорта В.Ф. Басаргина от 30 марта 2017 года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ВБ-112-р(фс) «О проведении публичного обсуждения результатов правоприменительной практики Федеральной службы по надзору в сфере транспорта».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Целями правоприменительной практики являются:</w:t>
      </w:r>
      <w:r>
        <w:rPr>
          <w:rFonts w:ascii="Times New Roman" w:hAnsi="Times New Roman"/>
          <w:sz w:val="28"/>
          <w:szCs w:val="28"/>
          <w:u w:val="single"/>
        </w:rPr>
      </w:r>
      <w:r>
        <w:rPr>
          <w:rFonts w:ascii="Times New Roman" w:hAnsi="Times New Roman"/>
          <w:sz w:val="28"/>
          <w:szCs w:val="28"/>
          <w:u w:val="single"/>
        </w:rPr>
      </w:r>
    </w:p>
    <w:p>
      <w:pPr>
        <w:pStyle w:val="897"/>
        <w:numPr>
          <w:ilvl w:val="0"/>
          <w:numId w:val="26"/>
        </w:numPr>
        <w:ind w:left="-567" w:firstLine="106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единства практики применения органами государственного контроля (надзора), его подразделени</w:t>
      </w:r>
      <w:r>
        <w:rPr>
          <w:rFonts w:ascii="Times New Roman" w:hAnsi="Times New Roman"/>
          <w:sz w:val="28"/>
          <w:szCs w:val="28"/>
        </w:rPr>
        <w:t xml:space="preserve">ями и территориальными органами федеральных законов и иных нормативных правовых актов Российской Федерации, иных нормативных документов, обязательность применения которых установлена законодательством Российской Федерации (далее - обязательные требования);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7"/>
        <w:numPr>
          <w:ilvl w:val="0"/>
          <w:numId w:val="26"/>
        </w:numPr>
        <w:ind w:left="-567" w:firstLine="106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результативности и эффективности контрольно</w:t>
      </w:r>
      <w:r>
        <w:rPr>
          <w:rFonts w:ascii="Times New Roman" w:hAnsi="Times New Roman"/>
          <w:sz w:val="28"/>
          <w:szCs w:val="28"/>
        </w:rPr>
        <w:t xml:space="preserve">й (</w:t>
      </w:r>
      <w:r>
        <w:rPr>
          <w:rFonts w:ascii="Times New Roman" w:hAnsi="Times New Roman"/>
          <w:sz w:val="28"/>
          <w:szCs w:val="28"/>
        </w:rPr>
        <w:t xml:space="preserve">надзорной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 деятельности.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Задачами анализа правоприменительной практики являются:</w:t>
      </w:r>
      <w:r>
        <w:rPr>
          <w:rFonts w:ascii="Times New Roman" w:hAnsi="Times New Roman"/>
          <w:sz w:val="28"/>
          <w:szCs w:val="28"/>
          <w:u w:val="single"/>
        </w:rPr>
      </w:r>
      <w:r>
        <w:rPr>
          <w:rFonts w:ascii="Times New Roman" w:hAnsi="Times New Roman"/>
          <w:sz w:val="28"/>
          <w:szCs w:val="28"/>
          <w:u w:val="single"/>
        </w:rPr>
      </w:r>
    </w:p>
    <w:p>
      <w:pPr>
        <w:pStyle w:val="897"/>
        <w:numPr>
          <w:ilvl w:val="0"/>
          <w:numId w:val="27"/>
        </w:numPr>
        <w:ind w:left="-567" w:firstLine="106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выявление проблемных вопросов применения органом государственного контроля (надзора), его подразделениями и территориальными органами обязательных требований;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7"/>
        <w:numPr>
          <w:ilvl w:val="0"/>
          <w:numId w:val="27"/>
        </w:numPr>
        <w:ind w:left="-567" w:firstLine="106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выявление избыточных контрольн</w:t>
      </w:r>
      <w:r>
        <w:rPr>
          <w:rFonts w:ascii="Times New Roman" w:hAnsi="Times New Roman"/>
          <w:sz w:val="28"/>
          <w:szCs w:val="28"/>
        </w:rPr>
        <w:t xml:space="preserve">ых (</w:t>
      </w:r>
      <w:r>
        <w:rPr>
          <w:rFonts w:ascii="Times New Roman" w:hAnsi="Times New Roman"/>
          <w:sz w:val="28"/>
          <w:szCs w:val="28"/>
        </w:rPr>
        <w:t xml:space="preserve">надзорных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 функций, подготовка и внесение предложений по их устранению;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7"/>
        <w:numPr>
          <w:ilvl w:val="0"/>
          <w:numId w:val="27"/>
        </w:numPr>
        <w:ind w:left="-567" w:firstLine="106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предложений по совершенствованию законодательства, выявление типичных нарушений обязательных требований и подготовка предложений по реализации профилактических мероприятий для их предупреждения;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7"/>
        <w:numPr>
          <w:ilvl w:val="0"/>
          <w:numId w:val="24"/>
        </w:num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и функции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Задачами </w:t>
      </w:r>
      <w:r>
        <w:rPr>
          <w:rFonts w:ascii="Times New Roman" w:hAnsi="Times New Roman"/>
          <w:sz w:val="28"/>
          <w:szCs w:val="28"/>
          <w:u w:val="single"/>
        </w:rPr>
        <w:t xml:space="preserve">Межрегионально</w:t>
      </w:r>
      <w:r>
        <w:rPr>
          <w:rFonts w:ascii="Times New Roman" w:hAnsi="Times New Roman"/>
          <w:sz w:val="28"/>
          <w:szCs w:val="28"/>
          <w:u w:val="single"/>
        </w:rPr>
        <w:t xml:space="preserve">го</w:t>
      </w:r>
      <w:r>
        <w:rPr>
          <w:rFonts w:ascii="Times New Roman" w:hAnsi="Times New Roman"/>
          <w:sz w:val="28"/>
          <w:szCs w:val="28"/>
          <w:u w:val="single"/>
        </w:rPr>
        <w:t xml:space="preserve"> территориально</w:t>
      </w:r>
      <w:r>
        <w:rPr>
          <w:rFonts w:ascii="Times New Roman" w:hAnsi="Times New Roman"/>
          <w:sz w:val="28"/>
          <w:szCs w:val="28"/>
          <w:u w:val="single"/>
        </w:rPr>
        <w:t xml:space="preserve">го</w:t>
      </w:r>
      <w:r>
        <w:rPr>
          <w:rFonts w:ascii="Times New Roman" w:hAnsi="Times New Roman"/>
          <w:sz w:val="28"/>
          <w:szCs w:val="28"/>
          <w:u w:val="single"/>
        </w:rPr>
        <w:t xml:space="preserve"> управлени</w:t>
      </w:r>
      <w:r>
        <w:rPr>
          <w:rFonts w:ascii="Times New Roman" w:hAnsi="Times New Roman"/>
          <w:sz w:val="28"/>
          <w:szCs w:val="28"/>
          <w:u w:val="single"/>
        </w:rPr>
        <w:t xml:space="preserve">я</w:t>
      </w:r>
      <w:r>
        <w:rPr>
          <w:rFonts w:ascii="Times New Roman" w:hAnsi="Times New Roman"/>
          <w:sz w:val="28"/>
          <w:szCs w:val="28"/>
          <w:u w:val="single"/>
        </w:rPr>
        <w:t xml:space="preserve"> Федеральной службы по надзору в сфере транспорта по Приволжскому федеральному округу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(далее – Управление) при осуществлении ф</w:t>
      </w:r>
      <w:r>
        <w:rPr>
          <w:rFonts w:ascii="Times New Roman" w:hAnsi="Times New Roman"/>
          <w:sz w:val="28"/>
          <w:szCs w:val="28"/>
          <w:u w:val="single"/>
        </w:rPr>
        <w:t xml:space="preserve">едеральн</w:t>
      </w:r>
      <w:r>
        <w:rPr>
          <w:rFonts w:ascii="Times New Roman" w:hAnsi="Times New Roman"/>
          <w:sz w:val="28"/>
          <w:szCs w:val="28"/>
          <w:u w:val="single"/>
        </w:rPr>
        <w:t xml:space="preserve">ого</w:t>
      </w:r>
      <w:r>
        <w:rPr>
          <w:rFonts w:ascii="Times New Roman" w:hAnsi="Times New Roman"/>
          <w:sz w:val="28"/>
          <w:szCs w:val="28"/>
          <w:u w:val="single"/>
        </w:rPr>
        <w:t xml:space="preserve"> государственн</w:t>
      </w:r>
      <w:r>
        <w:rPr>
          <w:rFonts w:ascii="Times New Roman" w:hAnsi="Times New Roman"/>
          <w:sz w:val="28"/>
          <w:szCs w:val="28"/>
          <w:u w:val="single"/>
        </w:rPr>
        <w:t xml:space="preserve">ого</w:t>
      </w:r>
      <w:r>
        <w:rPr>
          <w:rFonts w:ascii="Times New Roman" w:hAnsi="Times New Roman"/>
          <w:sz w:val="28"/>
          <w:szCs w:val="28"/>
          <w:u w:val="single"/>
        </w:rPr>
        <w:t xml:space="preserve"> контрол</w:t>
      </w:r>
      <w:r>
        <w:rPr>
          <w:rFonts w:ascii="Times New Roman" w:hAnsi="Times New Roman"/>
          <w:sz w:val="28"/>
          <w:szCs w:val="28"/>
          <w:u w:val="single"/>
        </w:rPr>
        <w:t xml:space="preserve">я</w:t>
      </w:r>
      <w:r>
        <w:rPr>
          <w:rFonts w:ascii="Times New Roman" w:hAnsi="Times New Roman"/>
          <w:sz w:val="28"/>
          <w:szCs w:val="28"/>
          <w:u w:val="single"/>
        </w:rPr>
        <w:t xml:space="preserve"> (надзор</w:t>
      </w:r>
      <w:r>
        <w:rPr>
          <w:rFonts w:ascii="Times New Roman" w:hAnsi="Times New Roman"/>
          <w:sz w:val="28"/>
          <w:szCs w:val="28"/>
          <w:u w:val="single"/>
        </w:rPr>
        <w:t xml:space="preserve">а</w:t>
      </w:r>
      <w:r>
        <w:rPr>
          <w:rFonts w:ascii="Times New Roman" w:hAnsi="Times New Roman"/>
          <w:sz w:val="28"/>
          <w:szCs w:val="28"/>
          <w:u w:val="single"/>
        </w:rPr>
        <w:t xml:space="preserve">) в области железнодорожного транспорта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являются:</w:t>
      </w:r>
      <w:r>
        <w:rPr>
          <w:rFonts w:ascii="Times New Roman" w:hAnsi="Times New Roman"/>
          <w:sz w:val="28"/>
          <w:szCs w:val="28"/>
          <w:u w:val="single"/>
        </w:rPr>
      </w:r>
      <w:r>
        <w:rPr>
          <w:rFonts w:ascii="Times New Roman" w:hAnsi="Times New Roman"/>
          <w:sz w:val="28"/>
          <w:szCs w:val="28"/>
          <w:u w:val="single"/>
        </w:rPr>
      </w:r>
    </w:p>
    <w:p>
      <w:pPr>
        <w:pStyle w:val="897"/>
        <w:numPr>
          <w:ilvl w:val="0"/>
          <w:numId w:val="28"/>
        </w:numPr>
        <w:ind w:left="-567" w:firstLine="106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(надзор) за соблюдением контролируемыми лицами, осуществляющими деятельность в сфере железнодорожного транспорта, обязательных требований, установленных техническими регламентами Таможен</w:t>
      </w:r>
      <w:r>
        <w:rPr>
          <w:rFonts w:ascii="Times New Roman" w:hAnsi="Times New Roman"/>
          <w:sz w:val="28"/>
          <w:szCs w:val="28"/>
        </w:rPr>
        <w:t xml:space="preserve">ного союза, федеральными законами и принимаемыми в соответствии с ними иными нормативными правовыми актами Российской Федерации, а также оценка исполнения решений, принятых по результатам профилактических и (или) контрольно-надзорных мероприятий в области: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7"/>
        <w:numPr>
          <w:ilvl w:val="0"/>
          <w:numId w:val="28"/>
        </w:numPr>
        <w:ind w:left="-567" w:firstLine="106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безопасности движения и эксплуатации железнодорожного транспорта;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7"/>
        <w:numPr>
          <w:ilvl w:val="0"/>
          <w:numId w:val="28"/>
        </w:numPr>
        <w:ind w:left="-567" w:firstLine="106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пожарной безопасности железнодорожного подвижного состава;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7"/>
        <w:numPr>
          <w:ilvl w:val="0"/>
          <w:numId w:val="28"/>
        </w:numPr>
        <w:ind w:left="-567" w:firstLine="106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обеспечения доступности для инвалидов объектов инфраструктуры железнодорожного транспорта общего пользования, железнодорожного подвижного состава и предоставляемых услуг;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7"/>
        <w:numPr>
          <w:ilvl w:val="0"/>
          <w:numId w:val="28"/>
        </w:numPr>
        <w:ind w:left="-567" w:firstLine="106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лицензирования отдельных видов деятельности на железнодорожном транспорте, в том числе проверки возможности выполнения соискателем лицензии и лицензиатом лицензионных требований;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7"/>
        <w:numPr>
          <w:ilvl w:val="0"/>
          <w:numId w:val="28"/>
        </w:numPr>
        <w:ind w:left="-567" w:firstLine="106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соблюдения требований технических регламентов Таможенного союза к продукции железнодорожного назначения;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7"/>
        <w:numPr>
          <w:ilvl w:val="0"/>
          <w:numId w:val="28"/>
        </w:numPr>
        <w:ind w:left="-567" w:firstLine="106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соответствия установленным требованиям функциональных подсистем единой государственной системы предупреждения и ликвидации чрезвычайных ситуаций в сфере железнодорожного транспорта;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7"/>
        <w:numPr>
          <w:ilvl w:val="0"/>
          <w:numId w:val="28"/>
        </w:numPr>
        <w:ind w:left="-567" w:firstLine="106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исполнения перевозчиком обязанности страховать свою гражданскую ответственность за причинение вреда жизни, здоровью, имуществу пассажиров при перевозках;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7"/>
        <w:numPr>
          <w:ilvl w:val="0"/>
          <w:numId w:val="28"/>
        </w:numPr>
        <w:ind w:left="-567" w:firstLine="106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экзаменов и вы</w:t>
      </w:r>
      <w:r>
        <w:rPr>
          <w:rFonts w:ascii="Times New Roman" w:hAnsi="Times New Roman"/>
          <w:sz w:val="28"/>
          <w:szCs w:val="28"/>
        </w:rPr>
        <w:t xml:space="preserve">дача по результатам их успешной сдачи свидетельств на право на управления курсирующими по железнодорожным путям локомотивам, мотор-вагонным подвижным составом и (или) специальным самоходным подвижным составом, а также ведение реестра выданных свидетельств.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</w:t>
      </w:r>
      <w:r>
        <w:rPr>
          <w:rFonts w:ascii="Times New Roman" w:hAnsi="Times New Roman"/>
          <w:sz w:val="28"/>
          <w:szCs w:val="28"/>
        </w:rPr>
        <w:t xml:space="preserve">Управлению добавлены новые полномочия – соблюдение требований по обеспечению транспортной безопасности.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</w:r>
      <w:r>
        <w:rPr>
          <w:rFonts w:ascii="Times New Roman" w:hAnsi="Times New Roman"/>
          <w:b/>
          <w:sz w:val="28"/>
          <w:szCs w:val="28"/>
          <w:u w:val="single"/>
        </w:rPr>
      </w:r>
      <w:r>
        <w:rPr>
          <w:rFonts w:ascii="Times New Roman" w:hAnsi="Times New Roman"/>
          <w:b/>
          <w:sz w:val="28"/>
          <w:szCs w:val="28"/>
          <w:u w:val="single"/>
        </w:rPr>
      </w:r>
    </w:p>
    <w:p>
      <w:pPr>
        <w:ind w:left="-567"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Контрольная (надзорная) деятельность.</w:t>
      </w:r>
      <w:r>
        <w:rPr>
          <w:rFonts w:ascii="Times New Roman" w:hAnsi="Times New Roman"/>
          <w:b/>
          <w:sz w:val="28"/>
          <w:szCs w:val="28"/>
          <w:u w:val="single"/>
        </w:rPr>
      </w:r>
      <w:r>
        <w:rPr>
          <w:rFonts w:ascii="Times New Roman" w:hAnsi="Times New Roman"/>
          <w:b/>
          <w:sz w:val="28"/>
          <w:szCs w:val="28"/>
          <w:u w:val="single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требованиями ст. 21 Федерального</w:t>
      </w:r>
      <w:r>
        <w:rPr>
          <w:rFonts w:ascii="Times New Roman" w:hAnsi="Times New Roman"/>
          <w:sz w:val="28"/>
          <w:szCs w:val="28"/>
        </w:rPr>
        <w:t xml:space="preserve"> закона от 31.07.2020 № 248-ФЗ «</w:t>
      </w:r>
      <w:r>
        <w:rPr>
          <w:rFonts w:ascii="Times New Roman" w:hAnsi="Times New Roman"/>
          <w:sz w:val="28"/>
          <w:szCs w:val="28"/>
        </w:rPr>
        <w:t xml:space="preserve">О государственном контроле (надзоре) и муниципальном контроле в Российской Федер</w:t>
      </w:r>
      <w:r>
        <w:rPr>
          <w:rFonts w:ascii="Times New Roman" w:hAnsi="Times New Roman"/>
          <w:sz w:val="28"/>
          <w:szCs w:val="28"/>
        </w:rPr>
        <w:t xml:space="preserve">ации» (далее – Федеральный закон № 248) </w:t>
      </w:r>
      <w:r>
        <w:rPr>
          <w:rFonts w:ascii="Times New Roman" w:hAnsi="Times New Roman"/>
          <w:sz w:val="28"/>
          <w:szCs w:val="28"/>
        </w:rPr>
        <w:t xml:space="preserve">федеральный государственный контроль (надзор) в области железнодорожного транспорта осуществляется на осно</w:t>
      </w:r>
      <w:r>
        <w:rPr>
          <w:rFonts w:ascii="Times New Roman" w:hAnsi="Times New Roman"/>
          <w:sz w:val="28"/>
          <w:szCs w:val="28"/>
        </w:rPr>
        <w:t xml:space="preserve">ве управления рисками причинения вреда (ущерба). В зависимости от риска причинения вреда (ущерба) охраняемым законом ценностям определяется выбор профилактических мероприятий и контрольных (надзорных) мероприятий, их содержание, интенсивность и результаты.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Управлением </w:t>
      </w:r>
      <w:r>
        <w:rPr>
          <w:rFonts w:ascii="Times New Roman" w:hAnsi="Times New Roman"/>
          <w:sz w:val="28"/>
          <w:szCs w:val="28"/>
        </w:rPr>
        <w:t xml:space="preserve">на постоянной основе ведется </w:t>
      </w:r>
      <w:r>
        <w:rPr>
          <w:rFonts w:ascii="Times New Roman" w:hAnsi="Times New Roman"/>
          <w:sz w:val="28"/>
          <w:szCs w:val="28"/>
        </w:rPr>
        <w:t xml:space="preserve">работа по </w:t>
      </w:r>
      <w:r>
        <w:rPr>
          <w:rFonts w:ascii="Times New Roman" w:hAnsi="Times New Roman"/>
          <w:sz w:val="28"/>
          <w:szCs w:val="28"/>
        </w:rPr>
        <w:t xml:space="preserve">отнесению объектов контроля к одной из категорий риска причинения вреда (ущерба)</w:t>
      </w:r>
      <w:r>
        <w:rPr>
          <w:rFonts w:ascii="Times New Roman" w:hAnsi="Times New Roman"/>
          <w:sz w:val="28"/>
          <w:szCs w:val="28"/>
        </w:rPr>
        <w:t xml:space="preserve">, в соответствии с Положением</w:t>
      </w:r>
      <w:r>
        <w:rPr>
          <w:rFonts w:ascii="Times New Roman" w:hAnsi="Times New Roman"/>
          <w:sz w:val="28"/>
          <w:szCs w:val="28"/>
        </w:rPr>
        <w:t xml:space="preserve"> о федеральном государственном контроле (надзоре) в обла</w:t>
      </w:r>
      <w:r>
        <w:rPr>
          <w:rFonts w:ascii="Times New Roman" w:hAnsi="Times New Roman"/>
          <w:sz w:val="28"/>
          <w:szCs w:val="28"/>
        </w:rPr>
        <w:t xml:space="preserve">сти железнодорожного транспорта», утвержденным </w:t>
      </w:r>
      <w:r>
        <w:rPr>
          <w:rFonts w:ascii="Times New Roman" w:hAnsi="Times New Roman"/>
          <w:sz w:val="28"/>
          <w:szCs w:val="28"/>
        </w:rPr>
        <w:t xml:space="preserve">Постановление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Правительства РФ от 25.06.2021 N 991 </w:t>
      </w:r>
      <w:r>
        <w:rPr>
          <w:rFonts w:ascii="Times New Roman" w:hAnsi="Times New Roman"/>
          <w:sz w:val="28"/>
          <w:szCs w:val="28"/>
        </w:rPr>
        <w:t xml:space="preserve">(далее – Положение).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размещения сведений об объектах контроля в открытом доступе сети Интернет посредством системы ЕРВК </w:t>
      </w:r>
      <w:r>
        <w:rPr>
          <w:rFonts w:ascii="Times New Roman" w:hAnsi="Times New Roman"/>
          <w:sz w:val="28"/>
          <w:szCs w:val="28"/>
        </w:rPr>
        <w:t xml:space="preserve">нами</w:t>
      </w:r>
      <w:r>
        <w:rPr>
          <w:rFonts w:ascii="Times New Roman" w:hAnsi="Times New Roman"/>
          <w:sz w:val="28"/>
          <w:szCs w:val="28"/>
        </w:rPr>
        <w:t xml:space="preserve"> сформирован реестр объектов контроля (</w:t>
      </w:r>
      <w:r>
        <w:rPr>
          <w:rFonts w:ascii="Times New Roman" w:hAnsi="Times New Roman"/>
          <w:sz w:val="28"/>
          <w:szCs w:val="28"/>
        </w:rPr>
        <w:t xml:space="preserve">4420</w:t>
      </w:r>
      <w:r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 xml:space="preserve">ов</w:t>
      </w:r>
      <w:r>
        <w:rPr>
          <w:rFonts w:ascii="Times New Roman" w:hAnsi="Times New Roman"/>
          <w:sz w:val="28"/>
          <w:szCs w:val="28"/>
        </w:rPr>
        <w:t xml:space="preserve"> контроля, из них </w:t>
      </w:r>
      <w:r>
        <w:rPr>
          <w:rFonts w:ascii="Times New Roman" w:hAnsi="Times New Roman"/>
          <w:sz w:val="28"/>
          <w:szCs w:val="28"/>
        </w:rPr>
        <w:t xml:space="preserve">40</w:t>
      </w:r>
      <w:r>
        <w:rPr>
          <w:rFonts w:ascii="Times New Roman" w:hAnsi="Times New Roman"/>
          <w:sz w:val="28"/>
          <w:szCs w:val="28"/>
        </w:rPr>
        <w:t xml:space="preserve"> – высокого, </w:t>
      </w:r>
      <w:r>
        <w:rPr>
          <w:rFonts w:ascii="Times New Roman" w:hAnsi="Times New Roman"/>
          <w:sz w:val="28"/>
          <w:szCs w:val="28"/>
        </w:rPr>
        <w:t xml:space="preserve">157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среднего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3948 – умеренного</w:t>
      </w:r>
      <w:r>
        <w:rPr>
          <w:rFonts w:ascii="Times New Roman" w:hAnsi="Times New Roman"/>
          <w:sz w:val="28"/>
          <w:szCs w:val="28"/>
        </w:rPr>
        <w:t xml:space="preserve">).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Управлением ведется работа по актуализации реестра объектов контроля. Информация об изменении категорий риска направл</w:t>
      </w:r>
      <w:r>
        <w:rPr>
          <w:rFonts w:ascii="Times New Roman" w:hAnsi="Times New Roman"/>
          <w:sz w:val="28"/>
          <w:szCs w:val="28"/>
        </w:rPr>
        <w:t xml:space="preserve">яется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правление Госжелдорнадзора</w:t>
      </w:r>
      <w:r>
        <w:rPr>
          <w:rFonts w:ascii="Times New Roman" w:hAnsi="Times New Roman"/>
          <w:sz w:val="28"/>
          <w:szCs w:val="28"/>
        </w:rPr>
        <w:t xml:space="preserve"> для внесения в систему ЕРВК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что, если на железнодорожных путях предприятия допущены нарушения безопасности движения, при которых </w:t>
      </w:r>
      <w:r>
        <w:rPr>
          <w:rFonts w:ascii="Times New Roman" w:hAnsi="Times New Roman"/>
          <w:sz w:val="28"/>
          <w:szCs w:val="28"/>
        </w:rPr>
        <w:t xml:space="preserve">поврежде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 железнодорожн</w:t>
      </w:r>
      <w:r>
        <w:rPr>
          <w:rFonts w:ascii="Times New Roman" w:hAnsi="Times New Roman"/>
          <w:sz w:val="28"/>
          <w:szCs w:val="28"/>
        </w:rPr>
        <w:t xml:space="preserve">ый</w:t>
      </w:r>
      <w:r>
        <w:rPr>
          <w:rFonts w:ascii="Times New Roman" w:hAnsi="Times New Roman"/>
          <w:sz w:val="28"/>
          <w:szCs w:val="28"/>
        </w:rPr>
        <w:t xml:space="preserve"> подвижно</w:t>
      </w:r>
      <w:r>
        <w:rPr>
          <w:rFonts w:ascii="Times New Roman" w:hAnsi="Times New Roman"/>
          <w:sz w:val="28"/>
          <w:szCs w:val="28"/>
        </w:rPr>
        <w:t xml:space="preserve">й состав, </w:t>
      </w:r>
      <w:r>
        <w:rPr>
          <w:rFonts w:ascii="Times New Roman" w:hAnsi="Times New Roman"/>
          <w:sz w:val="28"/>
          <w:szCs w:val="28"/>
        </w:rPr>
        <w:t xml:space="preserve">повреждены объекты инфраструктуры железнодорожного транспорта общего пользования, повреждены железнодорожные пути необщего пользов</w:t>
      </w:r>
      <w:r>
        <w:rPr>
          <w:rFonts w:ascii="Times New Roman" w:hAnsi="Times New Roman"/>
          <w:sz w:val="28"/>
          <w:szCs w:val="28"/>
        </w:rPr>
        <w:t xml:space="preserve">ания, категория риска меняется </w:t>
      </w:r>
      <w:r>
        <w:rPr>
          <w:rFonts w:ascii="Times New Roman" w:hAnsi="Times New Roman"/>
          <w:sz w:val="28"/>
          <w:szCs w:val="28"/>
        </w:rPr>
        <w:t xml:space="preserve">соответственно тяжести последствий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отношении объектов контроля, отнесенных к категории низкого риска, плановые контрольные (надзорные) мероприятия не проводятся. 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Расследование допущенных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нарушений безопасности движения</w:t>
      </w:r>
      <w:r>
        <w:rPr>
          <w:rFonts w:ascii="Times New Roman" w:hAnsi="Times New Roman"/>
          <w:b/>
          <w:sz w:val="28"/>
          <w:szCs w:val="28"/>
          <w:u w:val="single"/>
        </w:rPr>
      </w:r>
      <w:r>
        <w:rPr>
          <w:rFonts w:ascii="Times New Roman" w:hAnsi="Times New Roman"/>
          <w:b/>
          <w:sz w:val="28"/>
          <w:szCs w:val="28"/>
          <w:u w:val="single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4 месяца 2025 года </w:t>
      </w:r>
      <w:r>
        <w:rPr>
          <w:rFonts w:ascii="Times New Roman" w:hAnsi="Times New Roman"/>
          <w:sz w:val="28"/>
          <w:szCs w:val="28"/>
        </w:rPr>
        <w:t xml:space="preserve"> на территории, поднадзорной Управлению допущено 14</w:t>
      </w:r>
      <w:r>
        <w:rPr>
          <w:rFonts w:ascii="Times New Roman" w:hAnsi="Times New Roman"/>
          <w:sz w:val="28"/>
          <w:szCs w:val="28"/>
        </w:rPr>
        <w:t xml:space="preserve"> сходов</w:t>
      </w:r>
      <w:r>
        <w:rPr>
          <w:rFonts w:ascii="Times New Roman" w:hAnsi="Times New Roman"/>
          <w:sz w:val="28"/>
          <w:szCs w:val="28"/>
        </w:rPr>
        <w:t xml:space="preserve"> железнодорожного подвижного состава</w:t>
      </w:r>
      <w:r>
        <w:rPr>
          <w:rFonts w:ascii="Times New Roman" w:hAnsi="Times New Roman"/>
          <w:sz w:val="28"/>
          <w:szCs w:val="28"/>
        </w:rPr>
        <w:t xml:space="preserve">, из них на путях общего пользования – 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, на путях необщего пользования - 10</w:t>
      </w:r>
      <w:r>
        <w:rPr>
          <w:rFonts w:ascii="Times New Roman" w:hAnsi="Times New Roman"/>
          <w:sz w:val="28"/>
          <w:szCs w:val="28"/>
        </w:rPr>
        <w:t xml:space="preserve">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Основными причинами допущенных сходов</w:t>
      </w:r>
      <w:r>
        <w:rPr>
          <w:rFonts w:ascii="Times New Roman" w:hAnsi="Times New Roman"/>
          <w:sz w:val="28"/>
          <w:szCs w:val="28"/>
        </w:rPr>
        <w:t xml:space="preserve"> являются: н</w:t>
      </w:r>
      <w:r>
        <w:rPr>
          <w:rFonts w:ascii="Times New Roman" w:hAnsi="Times New Roman"/>
          <w:sz w:val="28"/>
          <w:szCs w:val="28"/>
        </w:rPr>
        <w:t xml:space="preserve">еудовлетворительное текущее содержание железнодорожного пути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арушения в технологии </w:t>
      </w:r>
      <w:r>
        <w:rPr>
          <w:rFonts w:ascii="Times New Roman" w:hAnsi="Times New Roman"/>
          <w:sz w:val="28"/>
          <w:szCs w:val="28"/>
        </w:rPr>
        <w:t xml:space="preserve">поездной и </w:t>
      </w:r>
      <w:r>
        <w:rPr>
          <w:rFonts w:ascii="Times New Roman" w:hAnsi="Times New Roman"/>
          <w:sz w:val="28"/>
          <w:szCs w:val="28"/>
        </w:rPr>
        <w:t xml:space="preserve">маневровой работы</w:t>
      </w:r>
      <w:r>
        <w:rPr>
          <w:rFonts w:ascii="Times New Roman" w:hAnsi="Times New Roman"/>
          <w:sz w:val="28"/>
          <w:szCs w:val="28"/>
        </w:rPr>
        <w:t xml:space="preserve">, неисправности железнодорожного подвижного состава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Управлением в соответствии с пунктом 7 </w:t>
      </w:r>
      <w:r>
        <w:rPr>
          <w:rFonts w:ascii="Times New Roman" w:hAnsi="Times New Roman"/>
          <w:sz w:val="28"/>
          <w:szCs w:val="28"/>
        </w:rPr>
        <w:t xml:space="preserve">Прика</w:t>
      </w:r>
      <w:r>
        <w:rPr>
          <w:rFonts w:ascii="Times New Roman" w:hAnsi="Times New Roman"/>
          <w:sz w:val="28"/>
          <w:szCs w:val="28"/>
        </w:rPr>
        <w:t xml:space="preserve">за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Минтранса России от 18.12.2014 №</w:t>
      </w:r>
      <w:r>
        <w:rPr>
          <w:rFonts w:ascii="Times New Roman" w:hAnsi="Times New Roman"/>
          <w:sz w:val="28"/>
          <w:szCs w:val="28"/>
        </w:rPr>
        <w:t xml:space="preserve"> 344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Об утверждении Положения о классификации, порядке расследования и учета транспортных происшествий и иных событий, связанных с нарушением правил безопасности движения и эксплуатации железнодорожного транспорта</w:t>
      </w:r>
      <w:r>
        <w:rPr>
          <w:rFonts w:ascii="Times New Roman" w:hAnsi="Times New Roman"/>
          <w:sz w:val="28"/>
          <w:szCs w:val="28"/>
        </w:rPr>
        <w:t xml:space="preserve">» (далее – Положение) проведено расследование 8</w:t>
      </w:r>
      <w:r>
        <w:rPr>
          <w:rFonts w:ascii="Times New Roman" w:hAnsi="Times New Roman"/>
          <w:sz w:val="28"/>
          <w:szCs w:val="28"/>
        </w:rPr>
        <w:t xml:space="preserve"> событий</w:t>
      </w:r>
      <w:r>
        <w:rPr>
          <w:rFonts w:ascii="Times New Roman" w:hAnsi="Times New Roman"/>
          <w:sz w:val="28"/>
          <w:szCs w:val="28"/>
        </w:rPr>
        <w:t xml:space="preserve">, связанных с нарушением правил безопасности движения и эксплуатации железнодорожного транспорта</w:t>
      </w:r>
      <w:r>
        <w:rPr>
          <w:rFonts w:ascii="Times New Roman" w:hAnsi="Times New Roman"/>
          <w:sz w:val="28"/>
          <w:szCs w:val="28"/>
        </w:rPr>
        <w:t xml:space="preserve">, где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техническое заключение о причинах и последствиях, включа</w:t>
      </w:r>
      <w:r>
        <w:rPr>
          <w:rFonts w:ascii="Times New Roman" w:hAnsi="Times New Roman"/>
          <w:sz w:val="28"/>
          <w:szCs w:val="28"/>
        </w:rPr>
        <w:t xml:space="preserve">ло</w:t>
      </w:r>
      <w:r>
        <w:rPr>
          <w:rFonts w:ascii="Times New Roman" w:hAnsi="Times New Roman"/>
          <w:sz w:val="28"/>
          <w:szCs w:val="28"/>
        </w:rPr>
        <w:t xml:space="preserve"> особое мнение члена комиссии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пункту 6 </w:t>
      </w:r>
      <w:r>
        <w:rPr>
          <w:rFonts w:ascii="Times New Roman" w:hAnsi="Times New Roman"/>
          <w:sz w:val="28"/>
          <w:szCs w:val="28"/>
        </w:rPr>
        <w:t xml:space="preserve">Положения комиссией Управления </w:t>
      </w:r>
      <w:r>
        <w:rPr>
          <w:rFonts w:ascii="Times New Roman" w:hAnsi="Times New Roman"/>
          <w:sz w:val="28"/>
          <w:szCs w:val="28"/>
        </w:rPr>
        <w:t xml:space="preserve">проведдятся </w:t>
      </w:r>
      <w:r>
        <w:rPr>
          <w:rFonts w:ascii="Times New Roman" w:hAnsi="Times New Roman"/>
          <w:sz w:val="28"/>
          <w:szCs w:val="28"/>
        </w:rPr>
        <w:t xml:space="preserve">расследования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случаев </w:t>
      </w:r>
      <w:r>
        <w:rPr>
          <w:rFonts w:ascii="Times New Roman" w:hAnsi="Times New Roman"/>
          <w:sz w:val="28"/>
          <w:szCs w:val="28"/>
        </w:rPr>
        <w:t xml:space="preserve">столкновения железнодорожного подвижного состава с транспортным средством на железнодорожном переезде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допущенным событиям</w:t>
      </w:r>
      <w:r>
        <w:rPr>
          <w:rFonts w:ascii="Times New Roman" w:hAnsi="Times New Roman"/>
          <w:sz w:val="28"/>
          <w:szCs w:val="28"/>
        </w:rPr>
        <w:t xml:space="preserve">, связанны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с нарушением правил безопасности движения и эксплуатации железнодорожного транспорта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организовано и п</w:t>
      </w:r>
      <w:r>
        <w:rPr>
          <w:rFonts w:ascii="Times New Roman" w:hAnsi="Times New Roman"/>
          <w:sz w:val="28"/>
          <w:szCs w:val="28"/>
        </w:rPr>
        <w:t xml:space="preserve">роводятся </w:t>
      </w:r>
      <w:r>
        <w:rPr>
          <w:rFonts w:ascii="Times New Roman" w:hAnsi="Times New Roman"/>
          <w:sz w:val="28"/>
          <w:szCs w:val="28"/>
        </w:rPr>
        <w:t xml:space="preserve"> наблюдения</w:t>
      </w:r>
      <w:r>
        <w:rPr>
          <w:rFonts w:ascii="Times New Roman" w:hAnsi="Times New Roman"/>
          <w:sz w:val="28"/>
          <w:szCs w:val="28"/>
        </w:rPr>
        <w:t xml:space="preserve"> за соблюдением обязательных требований (мониторинг безопасности)</w:t>
      </w:r>
      <w:r>
        <w:rPr>
          <w:rFonts w:ascii="Times New Roman" w:hAnsi="Times New Roman"/>
          <w:sz w:val="28"/>
          <w:szCs w:val="28"/>
        </w:rPr>
        <w:t xml:space="preserve">, по итогам которых объявлены Предостережения</w:t>
      </w:r>
      <w:r>
        <w:rPr>
          <w:rFonts w:ascii="Times New Roman" w:hAnsi="Times New Roman"/>
          <w:sz w:val="28"/>
          <w:szCs w:val="28"/>
        </w:rPr>
        <w:t xml:space="preserve"> о недопустимости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нарушения обязательных требований.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</w:r>
      <w:r>
        <w:rPr>
          <w:rFonts w:ascii="Times New Roman" w:hAnsi="Times New Roman"/>
          <w:b/>
          <w:sz w:val="28"/>
          <w:szCs w:val="28"/>
          <w:u w:val="single"/>
        </w:rPr>
      </w:r>
      <w:r>
        <w:rPr>
          <w:rFonts w:ascii="Times New Roman" w:hAnsi="Times New Roman"/>
          <w:b/>
          <w:sz w:val="28"/>
          <w:szCs w:val="28"/>
          <w:u w:val="single"/>
        </w:rPr>
      </w:r>
    </w:p>
    <w:p>
      <w:pPr>
        <w:pStyle w:val="897"/>
        <w:jc w:val="both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Результаты контрольной (надзорной) деятельности.</w:t>
      </w:r>
      <w:r>
        <w:rPr>
          <w:rFonts w:ascii="Times New Roman" w:hAnsi="Times New Roman"/>
          <w:b/>
          <w:sz w:val="28"/>
          <w:szCs w:val="28"/>
          <w:u w:val="single"/>
        </w:rPr>
      </w:r>
      <w:r>
        <w:rPr>
          <w:rFonts w:ascii="Times New Roman" w:hAnsi="Times New Roman"/>
          <w:b/>
          <w:sz w:val="28"/>
          <w:szCs w:val="28"/>
          <w:u w:val="single"/>
        </w:rPr>
      </w:r>
    </w:p>
    <w:p>
      <w:pPr>
        <w:pStyle w:val="897"/>
        <w:jc w:val="both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</w:r>
      <w:r>
        <w:rPr>
          <w:rFonts w:ascii="Times New Roman" w:hAnsi="Times New Roman"/>
          <w:b/>
          <w:sz w:val="28"/>
          <w:szCs w:val="28"/>
          <w:u w:val="single"/>
        </w:rPr>
      </w:r>
      <w:r>
        <w:rPr>
          <w:rFonts w:ascii="Times New Roman" w:hAnsi="Times New Roman"/>
          <w:b/>
          <w:sz w:val="28"/>
          <w:szCs w:val="28"/>
          <w:u w:val="single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4 месяца 2025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проведено </w:t>
      </w:r>
      <w:r>
        <w:rPr>
          <w:rFonts w:ascii="Times New Roman" w:hAnsi="Times New Roman"/>
          <w:sz w:val="28"/>
          <w:szCs w:val="28"/>
        </w:rPr>
        <w:t xml:space="preserve">17</w:t>
      </w:r>
      <w:r>
        <w:rPr>
          <w:rFonts w:ascii="Times New Roman" w:hAnsi="Times New Roman"/>
          <w:sz w:val="28"/>
          <w:szCs w:val="28"/>
        </w:rPr>
        <w:t xml:space="preserve"> контрольных (надзорных) мероприятий: 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– плановых и </w:t>
      </w:r>
      <w:r>
        <w:rPr>
          <w:rFonts w:ascii="Times New Roman" w:hAnsi="Times New Roman"/>
          <w:sz w:val="28"/>
          <w:szCs w:val="28"/>
        </w:rPr>
        <w:t xml:space="preserve">14</w:t>
      </w:r>
      <w:r>
        <w:rPr>
          <w:rFonts w:ascii="Times New Roman" w:hAnsi="Times New Roman"/>
          <w:sz w:val="28"/>
          <w:szCs w:val="28"/>
        </w:rPr>
        <w:t xml:space="preserve"> внеплановых. </w:t>
      </w:r>
      <w:r>
        <w:rPr>
          <w:rFonts w:ascii="Times New Roman" w:hAnsi="Times New Roman"/>
          <w:sz w:val="28"/>
          <w:szCs w:val="28"/>
        </w:rPr>
        <w:t xml:space="preserve">В ходе проведения </w:t>
      </w:r>
      <w:r>
        <w:rPr>
          <w:rFonts w:ascii="Times New Roman" w:hAnsi="Times New Roman"/>
          <w:sz w:val="28"/>
          <w:szCs w:val="28"/>
        </w:rPr>
        <w:t xml:space="preserve">КНМ</w:t>
      </w:r>
      <w:r>
        <w:rPr>
          <w:rFonts w:ascii="Times New Roman" w:hAnsi="Times New Roman"/>
          <w:sz w:val="28"/>
          <w:szCs w:val="28"/>
        </w:rPr>
        <w:t xml:space="preserve"> выявлено 425</w:t>
      </w:r>
      <w:r>
        <w:rPr>
          <w:rFonts w:ascii="Times New Roman" w:hAnsi="Times New Roman"/>
          <w:sz w:val="28"/>
          <w:szCs w:val="28"/>
        </w:rPr>
        <w:t xml:space="preserve"> нарушений</w:t>
      </w:r>
      <w:r>
        <w:rPr>
          <w:rFonts w:ascii="Times New Roman" w:hAnsi="Times New Roman"/>
          <w:sz w:val="28"/>
          <w:szCs w:val="28"/>
        </w:rPr>
        <w:t xml:space="preserve"> требований Федеральных законов и нормативно-правовых актов Российской Федерации.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результатам КНМ наложено 43</w:t>
      </w:r>
      <w:r>
        <w:rPr>
          <w:rFonts w:ascii="Times New Roman" w:hAnsi="Times New Roman"/>
          <w:sz w:val="28"/>
          <w:szCs w:val="28"/>
        </w:rPr>
        <w:t xml:space="preserve"> административных наказания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Проведено 304</w:t>
      </w:r>
      <w:r>
        <w:rPr>
          <w:rFonts w:ascii="Times New Roman" w:hAnsi="Times New Roman"/>
          <w:sz w:val="28"/>
          <w:szCs w:val="28"/>
        </w:rPr>
        <w:t xml:space="preserve"> контрольных (надзорных) мероприятий без взаимодействия с контролируемым лицом, из них выездных обследований – 166</w:t>
      </w:r>
      <w:r>
        <w:rPr>
          <w:rFonts w:ascii="Times New Roman" w:hAnsi="Times New Roman"/>
          <w:sz w:val="28"/>
          <w:szCs w:val="28"/>
        </w:rPr>
        <w:t xml:space="preserve">, наблюдений за соблюдением обязательных требований – </w:t>
      </w:r>
      <w:r>
        <w:rPr>
          <w:rFonts w:ascii="Times New Roman" w:hAnsi="Times New Roman"/>
          <w:sz w:val="28"/>
          <w:szCs w:val="28"/>
        </w:rPr>
        <w:t xml:space="preserve">138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выездных обследований осмотрено </w:t>
      </w:r>
      <w:r>
        <w:rPr>
          <w:rFonts w:ascii="Times New Roman" w:hAnsi="Times New Roman"/>
          <w:sz w:val="28"/>
          <w:szCs w:val="28"/>
        </w:rPr>
        <w:t xml:space="preserve">2303</w:t>
      </w:r>
      <w:r>
        <w:rPr>
          <w:rFonts w:ascii="Times New Roman" w:hAnsi="Times New Roman"/>
          <w:sz w:val="28"/>
          <w:szCs w:val="28"/>
        </w:rPr>
        <w:t xml:space="preserve"> единиц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железнодорожного </w:t>
      </w:r>
      <w:r>
        <w:rPr>
          <w:rFonts w:ascii="Times New Roman" w:hAnsi="Times New Roman"/>
          <w:sz w:val="28"/>
          <w:szCs w:val="28"/>
        </w:rPr>
        <w:t xml:space="preserve">подвижного состава, 5</w:t>
      </w:r>
      <w:r>
        <w:rPr>
          <w:rFonts w:ascii="Times New Roman" w:hAnsi="Times New Roman"/>
          <w:sz w:val="28"/>
          <w:szCs w:val="28"/>
        </w:rPr>
        <w:t xml:space="preserve"> пожарных поездов, 37 </w:t>
      </w:r>
      <w:r>
        <w:rPr>
          <w:rFonts w:ascii="Times New Roman" w:hAnsi="Times New Roman"/>
          <w:sz w:val="28"/>
          <w:szCs w:val="28"/>
        </w:rPr>
        <w:t xml:space="preserve">железнодорожных вокзалов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51</w:t>
      </w:r>
      <w:r>
        <w:rPr>
          <w:rFonts w:ascii="Times New Roman" w:hAnsi="Times New Roman"/>
          <w:sz w:val="28"/>
          <w:szCs w:val="28"/>
        </w:rPr>
        <w:t xml:space="preserve"> железнодорожный переезд, 14</w:t>
      </w:r>
      <w:r>
        <w:rPr>
          <w:rFonts w:ascii="Times New Roman" w:hAnsi="Times New Roman"/>
          <w:sz w:val="28"/>
          <w:szCs w:val="28"/>
        </w:rPr>
        <w:t xml:space="preserve"> железнодорожных мостов, </w:t>
      </w:r>
      <w:r>
        <w:rPr>
          <w:rFonts w:ascii="Times New Roman" w:hAnsi="Times New Roman"/>
          <w:sz w:val="28"/>
          <w:szCs w:val="28"/>
        </w:rPr>
        <w:t xml:space="preserve">12</w:t>
      </w:r>
      <w:r>
        <w:rPr>
          <w:rFonts w:ascii="Times New Roman" w:hAnsi="Times New Roman"/>
          <w:sz w:val="28"/>
          <w:szCs w:val="28"/>
        </w:rPr>
        <w:t xml:space="preserve"> железнодорожных станций</w:t>
      </w:r>
      <w:r>
        <w:rPr>
          <w:rFonts w:ascii="Times New Roman" w:hAnsi="Times New Roman"/>
          <w:sz w:val="28"/>
          <w:szCs w:val="28"/>
        </w:rPr>
        <w:t xml:space="preserve">. Выявлено 814</w:t>
      </w:r>
      <w:r>
        <w:rPr>
          <w:rFonts w:ascii="Times New Roman" w:hAnsi="Times New Roman"/>
          <w:sz w:val="28"/>
          <w:szCs w:val="28"/>
        </w:rPr>
        <w:t xml:space="preserve"> нарушений</w:t>
      </w:r>
      <w:r>
        <w:rPr>
          <w:rFonts w:ascii="Times New Roman" w:hAnsi="Times New Roman"/>
          <w:sz w:val="28"/>
          <w:szCs w:val="28"/>
        </w:rPr>
        <w:t xml:space="preserve"> обязательных требований. </w:t>
      </w:r>
      <w:r>
        <w:rPr>
          <w:rFonts w:ascii="Times New Roman" w:hAnsi="Times New Roman"/>
          <w:sz w:val="28"/>
          <w:szCs w:val="28"/>
        </w:rPr>
        <w:t xml:space="preserve">По результатам выездных обследований объявлено 376</w:t>
      </w:r>
      <w:r>
        <w:rPr>
          <w:rFonts w:ascii="Times New Roman" w:hAnsi="Times New Roman"/>
          <w:sz w:val="28"/>
          <w:szCs w:val="28"/>
        </w:rPr>
        <w:t xml:space="preserve"> Предостережений</w:t>
      </w:r>
      <w:r>
        <w:rPr>
          <w:rFonts w:ascii="Times New Roman" w:hAnsi="Times New Roman"/>
          <w:sz w:val="28"/>
          <w:szCs w:val="28"/>
        </w:rPr>
        <w:t xml:space="preserve"> о недопустимости нарушения обязательных требований.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Принято участие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11</w:t>
      </w:r>
      <w:r>
        <w:rPr>
          <w:rFonts w:ascii="Times New Roman" w:hAnsi="Times New Roman"/>
          <w:sz w:val="28"/>
          <w:szCs w:val="28"/>
        </w:rPr>
        <w:t xml:space="preserve"> приемочных комиссиях по постановке продукции железнодорожного назначения на производство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комиссиях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определению мест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примыкания строящихся, реконструируемых или восстановленных железнодорожных путей необщего пользования к железнодорожным путям общего пользования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отчетный период и</w:t>
      </w:r>
      <w:r>
        <w:rPr>
          <w:rFonts w:ascii="Times New Roman" w:hAnsi="Times New Roman"/>
          <w:sz w:val="28"/>
          <w:szCs w:val="28"/>
        </w:rPr>
        <w:t xml:space="preserve">нспекторским составом</w:t>
      </w:r>
      <w:r>
        <w:rPr>
          <w:rFonts w:ascii="Times New Roman" w:hAnsi="Times New Roman"/>
          <w:sz w:val="28"/>
          <w:szCs w:val="28"/>
        </w:rPr>
        <w:t xml:space="preserve"> принято участие в качестве специалистов в </w:t>
      </w:r>
      <w:r>
        <w:rPr>
          <w:rFonts w:ascii="Times New Roman" w:hAnsi="Times New Roman"/>
          <w:sz w:val="28"/>
          <w:szCs w:val="28"/>
        </w:rPr>
        <w:t xml:space="preserve">55</w:t>
      </w:r>
      <w:r>
        <w:rPr>
          <w:rFonts w:ascii="Times New Roman" w:hAnsi="Times New Roman"/>
          <w:sz w:val="28"/>
          <w:szCs w:val="28"/>
        </w:rPr>
        <w:t xml:space="preserve"> проверках транспортных прокуратур.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материалов, на</w:t>
      </w:r>
      <w:r>
        <w:rPr>
          <w:rFonts w:ascii="Times New Roman" w:hAnsi="Times New Roman"/>
          <w:sz w:val="28"/>
          <w:szCs w:val="28"/>
        </w:rPr>
        <w:t xml:space="preserve">правленных органами прокуратуры</w:t>
      </w:r>
      <w:r>
        <w:rPr>
          <w:rFonts w:ascii="Times New Roman" w:hAnsi="Times New Roman"/>
          <w:sz w:val="28"/>
          <w:szCs w:val="28"/>
        </w:rPr>
        <w:t xml:space="preserve"> рассмотрено </w:t>
      </w:r>
      <w:r>
        <w:rPr>
          <w:rFonts w:ascii="Times New Roman" w:hAnsi="Times New Roman"/>
          <w:sz w:val="28"/>
          <w:szCs w:val="28"/>
        </w:rPr>
        <w:t xml:space="preserve">142</w:t>
      </w:r>
      <w:r>
        <w:rPr>
          <w:rFonts w:ascii="Times New Roman" w:hAnsi="Times New Roman"/>
          <w:sz w:val="28"/>
          <w:szCs w:val="28"/>
        </w:rPr>
        <w:t xml:space="preserve"> дела об а</w:t>
      </w:r>
      <w:r>
        <w:rPr>
          <w:rFonts w:ascii="Times New Roman" w:hAnsi="Times New Roman"/>
          <w:sz w:val="28"/>
          <w:szCs w:val="28"/>
        </w:rPr>
        <w:t xml:space="preserve">дминистративных правонарушениях, из них 43 дела в отношении должностных лиц по итогам плановых и внеплановых проверок проверок.</w:t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Профилактика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упор контрольной (надзорной) деятель</w:t>
      </w:r>
      <w:r>
        <w:rPr>
          <w:rFonts w:ascii="Times New Roman" w:hAnsi="Times New Roman"/>
          <w:sz w:val="28"/>
          <w:szCs w:val="28"/>
        </w:rPr>
        <w:t xml:space="preserve">ности – это проведение профилактических мероприятий, направленных на предупреждение транспортных происшествий и стимулирование добросовестности контролируемых лиц по исполнению обязательных требований законодательства в области железнодорожного транспорта.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Профилактические мероприятия: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вынесение Предостережения о недопустимости нарушения обязательных требований,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информирование,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обобщение правоприменительной практики,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консультирование,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самообследование,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профилактический визит.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проведению профилактического визита установлены статьей 52 Федерального закона № 248 – ФЗ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Профилактический визит проводится инспектором в форме профилактической беседы по месту осуществления деятельности контроли</w:t>
      </w:r>
      <w:r>
        <w:rPr>
          <w:rFonts w:ascii="Times New Roman" w:hAnsi="Times New Roman"/>
          <w:sz w:val="28"/>
          <w:szCs w:val="28"/>
        </w:rPr>
        <w:t xml:space="preserve">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</w:t>
      </w:r>
      <w:r>
        <w:rPr>
          <w:rFonts w:ascii="Times New Roman" w:hAnsi="Times New Roman"/>
          <w:sz w:val="28"/>
          <w:szCs w:val="28"/>
        </w:rPr>
        <w:t xml:space="preserve">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 ходе профилактического визита инспектором может осуществляться консультирование контролируемого лица в порядке, установленном статьей 50 Федерального закона.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 ходе профилактического визита инспектором может осуществляться сбор сведений, необходимых для отнесения объектов контроля к категориям риска.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Проведение обязател</w:t>
      </w:r>
      <w:r>
        <w:rPr>
          <w:rFonts w:ascii="Times New Roman" w:hAnsi="Times New Roman"/>
          <w:sz w:val="28"/>
          <w:szCs w:val="28"/>
        </w:rPr>
        <w:t xml:space="preserve">ьных профилактических визитов предусмотрено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 проведении обязательного профилактического визита контролируемое лицо должно быть уведомлено не позднее, чем за пять рабочих дней до даты его проведения.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Контролируемое лицо вправе отказаться от проведения обязательного профилактического визита, уведомив об этом контрольный (надзорный) орган не позднее чем за три рабочих дня до даты его проведения.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Порядок и сроки проведения обязательного профилактического визита устанавливаются </w:t>
      </w:r>
      <w:r>
        <w:rPr>
          <w:rFonts w:ascii="Times New Roman" w:hAnsi="Times New Roman"/>
          <w:sz w:val="28"/>
          <w:szCs w:val="28"/>
        </w:rPr>
        <w:t xml:space="preserve">положением о виде контроля. Контрольный (надзорный) орган обязан предложить проведение профилактического визита лицам, приступающим к осуществлению деятельности в определенной сфере, не позднее чем в течение одного года с момента начала такой деятельности.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</w:t>
      </w:r>
      <w:r>
        <w:rPr>
          <w:rFonts w:ascii="Times New Roman" w:hAnsi="Times New Roman"/>
          <w:sz w:val="28"/>
          <w:szCs w:val="28"/>
        </w:rPr>
        <w:t xml:space="preserve"> При проведении профилактического визита гражданам, организациям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</w:t>
      </w:r>
      <w:r>
        <w:rPr>
          <w:rFonts w:ascii="Times New Roman" w:hAnsi="Times New Roman"/>
          <w:sz w:val="28"/>
          <w:szCs w:val="28"/>
        </w:rPr>
        <w:t xml:space="preserve"> охраняемым законом ценностям или такой вред (ущерб) причинен, инспектор незамедлительно направляет информацию об этом уполномоченному должностному лицу контрольного (надзорного) органа для принятия решения о проведении контрольных (надзорных) мероприятий.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показывает практика многие контролируемые лица, воспользовавшись своим правом, отказываются от проведения профилактического визита, ошибочно с</w:t>
      </w:r>
      <w:r>
        <w:rPr>
          <w:rFonts w:ascii="Times New Roman" w:hAnsi="Times New Roman"/>
          <w:sz w:val="28"/>
          <w:szCs w:val="28"/>
        </w:rPr>
        <w:t xml:space="preserve">читая его контрольным надзорным мероприятием. Хочу еще раз отметить, что это профилактическая беседа, в ходе которой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</w:t>
      </w:r>
      <w:r>
        <w:rPr>
          <w:rFonts w:ascii="Times New Roman" w:hAnsi="Times New Roman"/>
          <w:sz w:val="28"/>
          <w:szCs w:val="28"/>
        </w:rPr>
        <w:t xml:space="preserve">ведение консультирования стало обязательным требованием к контрольно-надзорному органу. Оно осуществляется должностным лицом при личном обращении, при получении письменного запроса, в ходе проведения профилактического или контрольно-надзорного мероприятия.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реализации профилактической работы управлением на системной основе проводится анализ состояния безопасности, выявляются предпосылки нарушения обязательных требований.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Результаты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Профилактически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х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мероприяти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й</w:t>
      </w:r>
      <w:r>
        <w:rPr>
          <w:rFonts w:ascii="Times New Roman" w:hAnsi="Times New Roman"/>
          <w:b/>
          <w:sz w:val="28"/>
          <w:szCs w:val="28"/>
          <w:u w:val="single"/>
        </w:rPr>
      </w:r>
      <w:r>
        <w:rPr>
          <w:rFonts w:ascii="Times New Roman" w:hAnsi="Times New Roman"/>
          <w:b/>
          <w:bCs/>
          <w:sz w:val="28"/>
          <w:szCs w:val="28"/>
          <w:highlight w:val="none"/>
          <w:u w:val="single"/>
        </w:rPr>
      </w:r>
    </w:p>
    <w:p>
      <w:pPr>
        <w:ind w:left="-567" w:firstLine="709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highlight w:val="none"/>
          <w:u w:val="single"/>
        </w:rPr>
      </w:r>
      <w:r>
        <w:rPr>
          <w:rFonts w:ascii="Times New Roman" w:hAnsi="Times New Roman"/>
          <w:b/>
          <w:sz w:val="28"/>
          <w:szCs w:val="28"/>
          <w:highlight w:val="none"/>
          <w:u w:val="single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4 месяца 2025 года </w:t>
      </w:r>
      <w:r>
        <w:rPr>
          <w:rFonts w:ascii="Times New Roman" w:hAnsi="Times New Roman"/>
          <w:sz w:val="28"/>
          <w:szCs w:val="28"/>
        </w:rPr>
        <w:t xml:space="preserve">инспекторами проведено 836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профилактических мероприятий, из них: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7"/>
        <w:numPr>
          <w:ilvl w:val="0"/>
          <w:numId w:val="33"/>
        </w:numPr>
        <w:ind w:left="28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</w:t>
      </w:r>
      <w:r>
        <w:rPr>
          <w:rFonts w:ascii="Times New Roman" w:hAnsi="Times New Roman"/>
          <w:sz w:val="28"/>
          <w:szCs w:val="28"/>
        </w:rPr>
        <w:t xml:space="preserve"> обяза</w:t>
      </w:r>
      <w:r>
        <w:rPr>
          <w:rFonts w:ascii="Times New Roman" w:hAnsi="Times New Roman"/>
          <w:sz w:val="28"/>
          <w:szCs w:val="28"/>
        </w:rPr>
        <w:t xml:space="preserve">тельных профилактических визита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7"/>
        <w:numPr>
          <w:ilvl w:val="0"/>
          <w:numId w:val="33"/>
        </w:numPr>
        <w:ind w:left="28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 профилактических визита</w:t>
      </w:r>
      <w:r>
        <w:rPr>
          <w:rFonts w:ascii="Times New Roman" w:hAnsi="Times New Roman"/>
          <w:sz w:val="28"/>
          <w:szCs w:val="28"/>
        </w:rPr>
        <w:t xml:space="preserve"> по месту осуществления деятельности контролируемых лиц либо путем использования видео-конференц-связи.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7"/>
        <w:numPr>
          <w:ilvl w:val="0"/>
          <w:numId w:val="34"/>
        </w:numPr>
        <w:ind w:left="284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376 Предостережений</w:t>
      </w:r>
      <w:r>
        <w:rPr>
          <w:rFonts w:ascii="Times New Roman" w:hAnsi="Times New Roman"/>
          <w:sz w:val="28"/>
          <w:szCs w:val="28"/>
        </w:rPr>
        <w:t xml:space="preserve"> о недопустимости нарушения обязательных требований</w:t>
      </w:r>
      <w:r>
        <w:rPr>
          <w:rFonts w:ascii="Times New Roman" w:hAnsi="Times New Roman"/>
          <w:sz w:val="28"/>
          <w:szCs w:val="28"/>
        </w:rPr>
        <w:t xml:space="preserve">, из них.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Осуществлено 442</w:t>
      </w:r>
      <w:r>
        <w:rPr>
          <w:rFonts w:ascii="Times New Roman" w:hAnsi="Times New Roman"/>
          <w:sz w:val="28"/>
          <w:szCs w:val="28"/>
        </w:rPr>
        <w:t xml:space="preserve"> консультирования</w:t>
      </w:r>
      <w:r>
        <w:rPr>
          <w:rFonts w:ascii="Times New Roman" w:hAnsi="Times New Roman"/>
          <w:sz w:val="28"/>
          <w:szCs w:val="28"/>
        </w:rPr>
        <w:t xml:space="preserve"> контролируемых лиц по вопросам </w:t>
      </w:r>
      <w:r>
        <w:rPr>
          <w:rFonts w:ascii="Times New Roman" w:hAnsi="Times New Roman"/>
          <w:sz w:val="28"/>
          <w:szCs w:val="28"/>
        </w:rPr>
        <w:t xml:space="preserve">обеспечения безопасности движения на путях общего и необщего пользования, пожарной безопасност</w:t>
      </w:r>
      <w:r>
        <w:rPr>
          <w:rFonts w:ascii="Times New Roman" w:hAnsi="Times New Roman"/>
          <w:sz w:val="28"/>
          <w:szCs w:val="28"/>
        </w:rPr>
        <w:t xml:space="preserve">и на железнодорожном транспорте, </w:t>
      </w:r>
      <w:r>
        <w:rPr>
          <w:rFonts w:ascii="Times New Roman" w:hAnsi="Times New Roman"/>
          <w:sz w:val="28"/>
          <w:szCs w:val="28"/>
        </w:rPr>
        <w:t xml:space="preserve">осуществления </w:t>
      </w:r>
      <w:r>
        <w:rPr>
          <w:rFonts w:ascii="Times New Roman" w:hAnsi="Times New Roman"/>
          <w:sz w:val="28"/>
          <w:szCs w:val="28"/>
        </w:rPr>
        <w:t xml:space="preserve">лицензирования и лицензионного контроля в обла</w:t>
      </w:r>
      <w:r>
        <w:rPr>
          <w:rFonts w:ascii="Times New Roman" w:hAnsi="Times New Roman"/>
          <w:sz w:val="28"/>
          <w:szCs w:val="28"/>
        </w:rPr>
        <w:t xml:space="preserve">сти железнодорожного транспорта.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отчетном периоде проведено и принято участие в 17</w:t>
      </w:r>
      <w:r>
        <w:rPr>
          <w:rFonts w:ascii="Times New Roman" w:hAnsi="Times New Roman"/>
          <w:sz w:val="28"/>
          <w:szCs w:val="28"/>
        </w:rPr>
        <w:t xml:space="preserve"> совещаниях с руководителями и специалистами, владельцами железнодорожных путей общего и необщего пользования, руководителями вагоноремонтных предприятий.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Контролируемым лицам направлено 25</w:t>
      </w:r>
      <w:r>
        <w:rPr>
          <w:rFonts w:ascii="Times New Roman" w:hAnsi="Times New Roman"/>
          <w:sz w:val="28"/>
          <w:szCs w:val="28"/>
        </w:rPr>
        <w:t xml:space="preserve"> информационных писем</w:t>
      </w:r>
      <w:r>
        <w:rPr>
          <w:rFonts w:ascii="Times New Roman" w:hAnsi="Times New Roman"/>
          <w:sz w:val="28"/>
          <w:szCs w:val="28"/>
        </w:rPr>
        <w:t xml:space="preserve"> о фактах </w:t>
      </w:r>
      <w:r>
        <w:rPr>
          <w:rFonts w:ascii="Times New Roman" w:hAnsi="Times New Roman"/>
          <w:sz w:val="28"/>
          <w:szCs w:val="28"/>
        </w:rPr>
        <w:t xml:space="preserve">допущенных </w:t>
      </w:r>
      <w:r>
        <w:rPr>
          <w:rFonts w:ascii="Times New Roman" w:hAnsi="Times New Roman"/>
          <w:sz w:val="28"/>
          <w:szCs w:val="28"/>
        </w:rPr>
        <w:t xml:space="preserve">транспортных происшествий. </w:t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отчетный период в СМИ опубликовано </w:t>
      </w:r>
      <w:r>
        <w:rPr>
          <w:rFonts w:ascii="Times New Roman" w:hAnsi="Times New Roman"/>
          <w:sz w:val="28"/>
          <w:szCs w:val="28"/>
        </w:rPr>
        <w:t xml:space="preserve">15</w:t>
      </w:r>
      <w:r>
        <w:rPr>
          <w:rFonts w:ascii="Times New Roman" w:hAnsi="Times New Roman"/>
          <w:sz w:val="28"/>
          <w:szCs w:val="28"/>
        </w:rPr>
        <w:t xml:space="preserve"> стат</w:t>
      </w:r>
      <w:r>
        <w:rPr>
          <w:rFonts w:ascii="Times New Roman" w:hAnsi="Times New Roman"/>
          <w:sz w:val="28"/>
          <w:szCs w:val="28"/>
        </w:rPr>
        <w:t xml:space="preserve">ей</w:t>
      </w:r>
      <w:r>
        <w:rPr>
          <w:rFonts w:ascii="Times New Roman" w:hAnsi="Times New Roman"/>
          <w:sz w:val="28"/>
          <w:szCs w:val="28"/>
        </w:rPr>
        <w:t xml:space="preserve"> о деятельности Управления</w:t>
      </w:r>
      <w:r>
        <w:rPr>
          <w:rFonts w:ascii="Times New Roman" w:hAnsi="Times New Roman"/>
          <w:sz w:val="28"/>
          <w:szCs w:val="28"/>
        </w:rPr>
        <w:t xml:space="preserve"> в области железнодорожного транспорта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0"/>
        <w:ind w:firstLine="0"/>
        <w:spacing w:before="0" w:after="0" w:line="240" w:lineRule="auto"/>
        <w:shd w:val="clear" w:color="auto" w:fill="auto"/>
        <w:tabs>
          <w:tab w:val="left" w:pos="567" w:leader="none"/>
        </w:tabs>
        <w:rPr>
          <w:i w:val="0"/>
        </w:rPr>
      </w:pPr>
      <w:r>
        <w:rPr>
          <w:i w:val="0"/>
        </w:rPr>
      </w:r>
      <w:r>
        <w:rPr>
          <w:i w:val="0"/>
        </w:rPr>
      </w:r>
      <w:r>
        <w:rPr>
          <w:i w:val="0"/>
        </w:rPr>
      </w:r>
    </w:p>
    <w:p>
      <w:pPr>
        <w:pStyle w:val="900"/>
        <w:numPr>
          <w:ilvl w:val="0"/>
          <w:numId w:val="32"/>
        </w:numPr>
        <w:jc w:val="center"/>
        <w:spacing w:before="0" w:after="0" w:line="240" w:lineRule="auto"/>
        <w:shd w:val="clear" w:color="auto" w:fill="auto"/>
        <w:tabs>
          <w:tab w:val="left" w:pos="567" w:leader="none"/>
        </w:tabs>
        <w:rPr>
          <w:i w:val="0"/>
        </w:rPr>
      </w:pPr>
      <w:r>
        <w:rPr>
          <w:i w:val="0"/>
        </w:rPr>
        <w:t xml:space="preserve">Типовые нарушения обязательных требований.</w:t>
      </w:r>
      <w:r>
        <w:rPr>
          <w:i w:val="0"/>
        </w:rPr>
      </w:r>
      <w:r>
        <w:rPr>
          <w:i w:val="0"/>
        </w:rPr>
      </w:r>
    </w:p>
    <w:p>
      <w:pPr>
        <w:pStyle w:val="900"/>
        <w:ind w:left="720" w:firstLine="0"/>
        <w:spacing w:before="0" w:after="0" w:line="240" w:lineRule="auto"/>
        <w:shd w:val="clear" w:color="auto" w:fill="auto"/>
        <w:tabs>
          <w:tab w:val="left" w:pos="567" w:leader="none"/>
        </w:tabs>
        <w:rPr>
          <w:i w:val="0"/>
        </w:rPr>
      </w:pPr>
      <w:r>
        <w:rPr>
          <w:i w:val="0"/>
        </w:rPr>
      </w:r>
      <w:r>
        <w:rPr>
          <w:i w:val="0"/>
        </w:rPr>
      </w:r>
      <w:r>
        <w:rPr>
          <w:i w:val="0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Нарушениями является несоблюдение юридическими лицами, индивидуальным предпринимателем требований безопасности движения и эксплуатации железнодорожного транспорта, подвижн</w:t>
      </w:r>
      <w:r>
        <w:rPr>
          <w:rFonts w:ascii="Times New Roman" w:hAnsi="Times New Roman"/>
          <w:sz w:val="28"/>
          <w:szCs w:val="28"/>
        </w:rPr>
        <w:t xml:space="preserve">ого состава и иных связанных с перевозочным процессом транспортных и технических средств, правил перевозки и перегрузки грузов, перевозки пассажиров и багажа, установленных в соответствии с международными договорами Российской Федерации, Федеральным законо</w:t>
      </w:r>
      <w:r>
        <w:rPr>
          <w:rFonts w:ascii="Times New Roman" w:hAnsi="Times New Roman"/>
          <w:sz w:val="28"/>
          <w:szCs w:val="28"/>
        </w:rPr>
        <w:t xml:space="preserve">м от 10 января 2003 №</w:t>
      </w:r>
      <w:r>
        <w:rPr>
          <w:rFonts w:ascii="Times New Roman" w:hAnsi="Times New Roman"/>
          <w:sz w:val="28"/>
          <w:szCs w:val="28"/>
        </w:rPr>
        <w:t xml:space="preserve"> 17-ФЗ «</w:t>
      </w:r>
      <w:r>
        <w:rPr>
          <w:rFonts w:ascii="Times New Roman" w:hAnsi="Times New Roman"/>
          <w:sz w:val="28"/>
          <w:szCs w:val="28"/>
        </w:rPr>
        <w:t xml:space="preserve">О железнодорожном тр</w:t>
      </w:r>
      <w:r>
        <w:rPr>
          <w:rFonts w:ascii="Times New Roman" w:hAnsi="Times New Roman"/>
          <w:sz w:val="28"/>
          <w:szCs w:val="28"/>
        </w:rPr>
        <w:t xml:space="preserve">анспорте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другими федеральными законами и иными нормативными правовыми актами Российской Федерации в области безопасности железнодорожного транспорта.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причинами допущенных поднадзорными организациями нарушений послужили: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отсутствие систематического надзора за комплексом сооружений пути и путевых устройств и не содержание их в состоянии, гарантирующем безопасное и бесперебойное движение.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б) несвоевременное или не в полном объеме прохождение планово - предупредительных видов ремонта и технического обслуживания тягового подвижного состава.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отсутствие контроля со стороны владельца пути необщего пользования за технической документацией на железнодорожные пути необщего пользова</w:t>
      </w:r>
      <w:r>
        <w:rPr>
          <w:rFonts w:ascii="Times New Roman" w:hAnsi="Times New Roman"/>
          <w:sz w:val="28"/>
          <w:szCs w:val="28"/>
        </w:rPr>
        <w:t xml:space="preserve">ния и поддержанием её в актуальном состоянии. Расхождение технической документации (тех. паспорт и инструкция о порядке обслуживания и организации движения на пути необщего пользования) с фактическим обустройством железнодорожного пути необщего пользования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несоблюдение требований содержания железнодорожных переездов владельцами железнодорожных путей необщего пользования (отсутствие или неполное количество направляющих столбиков со стороны автодороги, отсутствие или нечитае</w:t>
      </w:r>
      <w:r>
        <w:rPr>
          <w:rFonts w:ascii="Times New Roman" w:hAnsi="Times New Roman"/>
          <w:sz w:val="28"/>
          <w:szCs w:val="28"/>
        </w:rPr>
        <w:t xml:space="preserve">мые знаки дорожного движения «Однопутная» или «Многопутная железная дорога», отсутствует или невидна разметка, поворотные шлагбаумы не установлены или не на той высоте, твердое покрытие в междупутье не соответствует, отсутствует видеофиксация на переезде).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отсутствие информирования </w:t>
      </w:r>
      <w:r>
        <w:rPr>
          <w:rFonts w:ascii="Times New Roman" w:hAnsi="Times New Roman"/>
          <w:sz w:val="28"/>
          <w:szCs w:val="28"/>
        </w:rPr>
        <w:t xml:space="preserve">Управления</w:t>
      </w:r>
      <w:r>
        <w:rPr>
          <w:rFonts w:ascii="Times New Roman" w:hAnsi="Times New Roman"/>
          <w:sz w:val="28"/>
          <w:szCs w:val="28"/>
        </w:rPr>
        <w:t xml:space="preserve"> о проведении владельцами путей необщего пользования комиссионного обследования железнодорожных переездов, который проводится ежегодно, в период с 1 апреля по 1 июля.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несвоевременное направление владельцами путей необщего пользования информации о транспортных происшествиях (сходах подвижного состава), произошедших на их путях, некачественное расследование владельцами путей необщего пользования сходов желез</w:t>
      </w:r>
      <w:r>
        <w:rPr>
          <w:rFonts w:ascii="Times New Roman" w:hAnsi="Times New Roman"/>
          <w:sz w:val="28"/>
          <w:szCs w:val="28"/>
        </w:rPr>
        <w:t xml:space="preserve">нодорожного подвижного состава.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Нарушение требований законодательства в области обеспечения доступности для инвалидов объектов транспортной инфраструктуры, транспортных средств и предоставляемых услуг, например: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Вокзалы: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отсутствие на проверенных объектах </w:t>
      </w:r>
      <w:r>
        <w:rPr>
          <w:rFonts w:ascii="Times New Roman" w:hAnsi="Times New Roman"/>
          <w:sz w:val="28"/>
          <w:szCs w:val="28"/>
        </w:rPr>
        <w:t xml:space="preserve">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</w:t>
      </w:r>
      <w:r>
        <w:rPr>
          <w:rFonts w:ascii="Times New Roman" w:hAnsi="Times New Roman"/>
          <w:sz w:val="28"/>
          <w:szCs w:val="28"/>
        </w:rPr>
        <w:t xml:space="preserve">о-точечным шрифтом Брайля (п.6 </w:t>
      </w:r>
      <w:r>
        <w:rPr>
          <w:rFonts w:ascii="Times New Roman" w:hAnsi="Times New Roman"/>
          <w:sz w:val="28"/>
          <w:szCs w:val="28"/>
        </w:rPr>
        <w:t xml:space="preserve">ст.15 ФЗ РФ от 24.11.1995 № 181-ФЗ);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ограничения возможности входа </w:t>
      </w:r>
      <w:r>
        <w:rPr>
          <w:rFonts w:ascii="Times New Roman" w:hAnsi="Times New Roman"/>
          <w:sz w:val="28"/>
          <w:szCs w:val="28"/>
        </w:rPr>
        <w:t xml:space="preserve">и выхода на вокзал</w:t>
      </w:r>
      <w:r>
        <w:rPr>
          <w:rFonts w:ascii="Times New Roman" w:hAnsi="Times New Roman"/>
          <w:sz w:val="28"/>
          <w:szCs w:val="28"/>
        </w:rPr>
        <w:t xml:space="preserve">ы и перемещения по территории </w:t>
      </w:r>
      <w:r>
        <w:rPr>
          <w:rFonts w:ascii="Times New Roman" w:hAnsi="Times New Roman"/>
          <w:sz w:val="28"/>
          <w:szCs w:val="28"/>
        </w:rPr>
        <w:t xml:space="preserve">- для пассажиров из числа инвалидов, имеющих стойкие нарушения функций самостоятельного передвижения (пр</w:t>
      </w:r>
      <w:r>
        <w:rPr>
          <w:rFonts w:ascii="Times New Roman" w:hAnsi="Times New Roman"/>
          <w:sz w:val="28"/>
          <w:szCs w:val="28"/>
        </w:rPr>
        <w:t xml:space="preserve">евышена высота порогов дверных </w:t>
      </w:r>
      <w:r>
        <w:rPr>
          <w:rFonts w:ascii="Times New Roman" w:hAnsi="Times New Roman"/>
          <w:sz w:val="28"/>
          <w:szCs w:val="28"/>
        </w:rPr>
        <w:t xml:space="preserve">проемов, ширина проемов дверей менее 0</w:t>
      </w:r>
      <w:r>
        <w:rPr>
          <w:rFonts w:ascii="Times New Roman" w:hAnsi="Times New Roman"/>
          <w:sz w:val="28"/>
          <w:szCs w:val="28"/>
        </w:rPr>
        <w:t xml:space="preserve">,9 м; пандусы не соответствуют требованиям, </w:t>
      </w:r>
      <w:r>
        <w:rPr>
          <w:rFonts w:ascii="Times New Roman" w:hAnsi="Times New Roman"/>
          <w:sz w:val="28"/>
          <w:szCs w:val="28"/>
        </w:rPr>
        <w:t xml:space="preserve">отсутствуют, либо не обустроены</w:t>
      </w:r>
      <w:r>
        <w:rPr>
          <w:rFonts w:ascii="Times New Roman" w:hAnsi="Times New Roman"/>
          <w:sz w:val="28"/>
          <w:szCs w:val="28"/>
        </w:rPr>
        <w:t xml:space="preserve"> съезды по маршруту следования инвалидов) </w:t>
      </w:r>
      <w:r>
        <w:rPr>
          <w:rFonts w:ascii="Times New Roman" w:hAnsi="Times New Roman"/>
          <w:sz w:val="28"/>
          <w:szCs w:val="28"/>
        </w:rPr>
        <w:t xml:space="preserve">(п.8 ст.15 ФЗ РФ от 24.11.1995 № 181-ФЗ);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проверенных объектах не обеспечивается </w:t>
      </w:r>
      <w:r>
        <w:rPr>
          <w:rFonts w:ascii="Times New Roman" w:hAnsi="Times New Roman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</w:t>
      </w:r>
      <w:r>
        <w:rPr>
          <w:rFonts w:ascii="Times New Roman" w:hAnsi="Times New Roman"/>
          <w:sz w:val="28"/>
          <w:szCs w:val="28"/>
        </w:rPr>
        <w:t xml:space="preserve">о-точечным шрифтом Брайля (п.6 </w:t>
      </w:r>
      <w:r>
        <w:rPr>
          <w:rFonts w:ascii="Times New Roman" w:hAnsi="Times New Roman"/>
          <w:sz w:val="28"/>
          <w:szCs w:val="28"/>
        </w:rPr>
        <w:t xml:space="preserve">ст.15 ФЗ РФ от 24.11.1995 № 181-ФЗ);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 выполнены мероприятия по адаптации ж.д. вокзалов, предусмотренные Паспортами доступности для пассажиров из числа инвалидов объекта пассажирской инфраструктуры (п.8 ст.15 ФЗ РФ от 24.11.1995 № 181-ФЗ);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вокзалах отсутствуют </w:t>
      </w:r>
      <w:r>
        <w:rPr>
          <w:rFonts w:ascii="Times New Roman" w:hAnsi="Times New Roman"/>
          <w:sz w:val="28"/>
          <w:szCs w:val="28"/>
        </w:rPr>
        <w:t xml:space="preserve">вспомогательные средства, в том числе кресло-коляска, для предоставления их, при необходимости, пассажирам из числа инвалидов, имеющих стойкие нарушения функций самостоятельного передвижения при сопровождении (п.3,8 ст.15 ФЗ РФ от 24.11.1995 № 181-ФЗ).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Транспортные средства: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пассажиров из числа инвалидов, имеющих стойкие нарушения функций самостоятельного передвижения, отсутствуют условия доступности пассажирских вагонов, не обеспечиваются услови</w:t>
      </w:r>
      <w:r>
        <w:rPr>
          <w:rFonts w:ascii="Times New Roman" w:hAnsi="Times New Roman"/>
          <w:sz w:val="28"/>
          <w:szCs w:val="28"/>
        </w:rPr>
        <w:t xml:space="preserve">я доступности услуг (отсутствует возможность входа в поезд и выхода из него с помощью вспомогательных посадочных устройств, отсутствует возможность оставаться в своем кресле-коляске, не предоставляются вспомогательные средства, в том числе кресла-коляски).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допущенные нарушения к административной ответственности в соответствии с КоАП РФ могут быть привлечены как граждане (физические лица), должностные лица, так и </w:t>
      </w:r>
      <w:r>
        <w:rPr>
          <w:rFonts w:ascii="Times New Roman" w:hAnsi="Times New Roman"/>
          <w:sz w:val="28"/>
          <w:szCs w:val="28"/>
        </w:rPr>
        <w:t xml:space="preserve">юридические лица,</w:t>
      </w:r>
      <w:r>
        <w:rPr>
          <w:rFonts w:ascii="Times New Roman" w:hAnsi="Times New Roman"/>
          <w:sz w:val="28"/>
          <w:szCs w:val="28"/>
        </w:rPr>
        <w:t xml:space="preserve"> и индивидуальные предприниматели. </w:t>
      </w:r>
      <w:r>
        <w:rPr>
          <w:rFonts w:ascii="Times New Roman" w:hAnsi="Times New Roman"/>
          <w:sz w:val="28"/>
          <w:szCs w:val="28"/>
        </w:rPr>
        <w:t xml:space="preserve">Сотрудниками управления применяется 14 статей КоАП РФ по привлечению к административной ответственности, из которых 6 статей прямого действия и 8 судебных.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97"/>
        <w:numPr>
          <w:ilvl w:val="0"/>
          <w:numId w:val="32"/>
        </w:num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Предоставление государственных услуг: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97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2025 </w:t>
      </w:r>
      <w:r>
        <w:rPr>
          <w:rFonts w:ascii="Times New Roman" w:hAnsi="Times New Roman"/>
          <w:sz w:val="28"/>
          <w:szCs w:val="28"/>
        </w:rPr>
        <w:t xml:space="preserve">году</w:t>
      </w:r>
      <w:r>
        <w:rPr>
          <w:rFonts w:ascii="Times New Roman" w:hAnsi="Times New Roman"/>
          <w:sz w:val="28"/>
          <w:szCs w:val="28"/>
        </w:rPr>
        <w:t xml:space="preserve"> назначено </w:t>
      </w:r>
      <w:r>
        <w:rPr>
          <w:rFonts w:ascii="Times New Roman" w:hAnsi="Times New Roman"/>
          <w:sz w:val="28"/>
          <w:szCs w:val="28"/>
        </w:rPr>
        <w:t xml:space="preserve">21</w:t>
      </w:r>
      <w:r>
        <w:rPr>
          <w:rFonts w:ascii="Times New Roman" w:hAnsi="Times New Roman"/>
          <w:sz w:val="28"/>
          <w:szCs w:val="28"/>
        </w:rPr>
        <w:t xml:space="preserve"> комиссия</w:t>
      </w:r>
      <w:r>
        <w:rPr>
          <w:rFonts w:ascii="Times New Roman" w:hAnsi="Times New Roman"/>
          <w:sz w:val="28"/>
          <w:szCs w:val="28"/>
        </w:rPr>
        <w:t xml:space="preserve"> для проверки теоретических знаний и выдачи свидетельств на право управления железнодорожным подвижным составом. Количество претендентов </w:t>
      </w:r>
      <w:r>
        <w:rPr>
          <w:rFonts w:ascii="Times New Roman" w:hAnsi="Times New Roman"/>
          <w:sz w:val="28"/>
          <w:szCs w:val="28"/>
        </w:rPr>
        <w:t xml:space="preserve">– 294</w:t>
      </w:r>
      <w:r>
        <w:rPr>
          <w:rFonts w:ascii="Times New Roman" w:hAnsi="Times New Roman"/>
          <w:sz w:val="28"/>
          <w:szCs w:val="28"/>
        </w:rPr>
        <w:t xml:space="preserve"> человек. Из них </w:t>
      </w:r>
      <w:r>
        <w:rPr>
          <w:rFonts w:ascii="Times New Roman" w:hAnsi="Times New Roman"/>
          <w:sz w:val="28"/>
          <w:szCs w:val="28"/>
        </w:rPr>
        <w:t xml:space="preserve">224</w:t>
      </w:r>
      <w:r>
        <w:rPr>
          <w:rFonts w:ascii="Times New Roman" w:hAnsi="Times New Roman"/>
          <w:sz w:val="28"/>
          <w:szCs w:val="28"/>
        </w:rPr>
        <w:t xml:space="preserve"> – сдавших, 24</w:t>
      </w:r>
      <w:r>
        <w:rPr>
          <w:rFonts w:ascii="Times New Roman" w:hAnsi="Times New Roman"/>
          <w:sz w:val="28"/>
          <w:szCs w:val="28"/>
        </w:rPr>
        <w:t xml:space="preserve"> – не сдавших, </w:t>
      </w:r>
      <w:r>
        <w:rPr>
          <w:rFonts w:ascii="Times New Roman" w:hAnsi="Times New Roman"/>
          <w:sz w:val="28"/>
          <w:szCs w:val="28"/>
        </w:rPr>
        <w:t xml:space="preserve">46</w:t>
      </w:r>
      <w:r>
        <w:rPr>
          <w:rFonts w:ascii="Times New Roman" w:hAnsi="Times New Roman"/>
          <w:sz w:val="28"/>
          <w:szCs w:val="28"/>
        </w:rPr>
        <w:t xml:space="preserve"> – не явившихся. За отчетный период выдано 224</w:t>
      </w:r>
      <w:r>
        <w:rPr>
          <w:rFonts w:ascii="Times New Roman" w:hAnsi="Times New Roman"/>
          <w:sz w:val="28"/>
          <w:szCs w:val="28"/>
        </w:rPr>
        <w:t xml:space="preserve"> свидетельства</w:t>
      </w:r>
      <w:r>
        <w:rPr>
          <w:rFonts w:ascii="Times New Roman" w:hAnsi="Times New Roman"/>
          <w:sz w:val="28"/>
          <w:szCs w:val="28"/>
        </w:rPr>
        <w:t xml:space="preserve"> на право управления железнодорожным подвижным составом.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Соблюдение обязательных требований, дающих разъяснения, какое поведение является правомерным, а также новых требований нормативных правовых актов</w:t>
      </w:r>
      <w:r>
        <w:rPr>
          <w:rFonts w:ascii="Times New Roman" w:hAnsi="Times New Roman"/>
          <w:b/>
          <w:sz w:val="28"/>
          <w:szCs w:val="28"/>
        </w:rPr>
        <w:t xml:space="preserve">.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реализации положений Федерального закона № 248-ФЗ</w:t>
      </w:r>
      <w:r>
        <w:rPr>
          <w:rFonts w:ascii="Times New Roman" w:hAnsi="Times New Roman"/>
          <w:sz w:val="28"/>
          <w:szCs w:val="28"/>
        </w:rPr>
        <w:t xml:space="preserve"> и совершенствования контрольной (надзорной) деятельности во исполнение постановления Совета Федерации Федерального Собрания Российской Федерации от 2 ноября 2022 г. № 492-СФ «О результатах работы по совершенствованию контрольной (надзорной) деятельности» </w:t>
      </w:r>
      <w:r>
        <w:rPr>
          <w:rFonts w:ascii="Times New Roman" w:hAnsi="Times New Roman"/>
          <w:sz w:val="28"/>
          <w:szCs w:val="28"/>
        </w:rPr>
        <w:t xml:space="preserve">и в</w:t>
      </w:r>
      <w:r>
        <w:rPr>
          <w:rFonts w:ascii="Times New Roman" w:hAnsi="Times New Roman"/>
          <w:sz w:val="28"/>
          <w:szCs w:val="28"/>
        </w:rPr>
        <w:t xml:space="preserve"> целях совершенствования норм</w:t>
      </w:r>
      <w:r>
        <w:rPr>
          <w:rFonts w:ascii="Times New Roman" w:hAnsi="Times New Roman"/>
          <w:sz w:val="28"/>
          <w:szCs w:val="28"/>
        </w:rPr>
        <w:t xml:space="preserve">ативно-правового регулирования </w:t>
      </w:r>
      <w:r>
        <w:rPr>
          <w:rFonts w:ascii="Times New Roman" w:hAnsi="Times New Roman"/>
          <w:sz w:val="28"/>
          <w:szCs w:val="28"/>
        </w:rPr>
        <w:t xml:space="preserve">осуществления полномочий по федеральному государственному контролю (надзору) в области железнодорожного транспорта </w:t>
      </w:r>
      <w:r>
        <w:rPr>
          <w:rFonts w:ascii="Times New Roman" w:hAnsi="Times New Roman"/>
          <w:sz w:val="28"/>
          <w:szCs w:val="28"/>
        </w:rPr>
        <w:t xml:space="preserve">утверждены</w:t>
      </w:r>
      <w:r>
        <w:rPr>
          <w:rFonts w:ascii="Times New Roman" w:hAnsi="Times New Roman"/>
          <w:sz w:val="28"/>
          <w:szCs w:val="28"/>
        </w:rPr>
        <w:t xml:space="preserve"> новые индикаторы риска, направленные на повыш</w:t>
      </w:r>
      <w:r>
        <w:rPr>
          <w:rFonts w:ascii="Times New Roman" w:hAnsi="Times New Roman"/>
          <w:sz w:val="28"/>
          <w:szCs w:val="28"/>
        </w:rPr>
        <w:t xml:space="preserve">ение уровня безопасности </w:t>
      </w:r>
      <w:r>
        <w:rPr>
          <w:rFonts w:ascii="Times New Roman" w:hAnsi="Times New Roman"/>
          <w:sz w:val="28"/>
          <w:szCs w:val="28"/>
        </w:rPr>
        <w:t xml:space="preserve">на железнодорожном транспорте.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ри плановых проверках предприятий железнодорожного транспорта применяется риск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ориентированный подход. Это является одним из ключевых изменений в работе контрольно-надзорных органов в рамках реформы контрольной и надзорной деятельности.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Риск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ориентированный подход предполагает, что контрольно-надзорная деятельность должна основываться на рисках и быть соразмерной им: частота проверок и используемые ресурсы должны быть пропорциональны уровню риска причинения вреда имуществу и здоровью людей.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Различные предприятия одной направленности далеко не одинаковы по уровню потенциальной опасности. Большинство предпринимателей принадлежит к низкой категории риска, поскольку их деятельность не несёт серьёзной угрозы здоровью и имуществу граждан.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Управлением </w:t>
      </w:r>
      <w:r>
        <w:rPr>
          <w:rFonts w:ascii="Times New Roman" w:hAnsi="Times New Roman"/>
          <w:sz w:val="28"/>
          <w:szCs w:val="28"/>
        </w:rPr>
        <w:t xml:space="preserve">на постоянной основе ведется </w:t>
      </w:r>
      <w:r>
        <w:rPr>
          <w:rFonts w:ascii="Times New Roman" w:hAnsi="Times New Roman"/>
          <w:sz w:val="28"/>
          <w:szCs w:val="28"/>
        </w:rPr>
        <w:t xml:space="preserve">работа по </w:t>
      </w:r>
      <w:r>
        <w:rPr>
          <w:rFonts w:ascii="Times New Roman" w:hAnsi="Times New Roman"/>
          <w:sz w:val="28"/>
          <w:szCs w:val="28"/>
        </w:rPr>
        <w:t xml:space="preserve">отнесению объектов контроля к одной из категорий риска причинения вреда (ущерба)</w:t>
      </w:r>
      <w:r>
        <w:rPr>
          <w:rFonts w:ascii="Times New Roman" w:hAnsi="Times New Roman"/>
          <w:sz w:val="28"/>
          <w:szCs w:val="28"/>
        </w:rPr>
        <w:t xml:space="preserve">, в соответствии с </w:t>
      </w:r>
      <w:r>
        <w:rPr>
          <w:rFonts w:ascii="Times New Roman" w:hAnsi="Times New Roman"/>
          <w:sz w:val="28"/>
          <w:szCs w:val="28"/>
        </w:rPr>
        <w:t xml:space="preserve">Постановление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Правительства РФ от 25.06.2021 N 991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Об утверждении Положения о федеральном государственном контроле (надзоре) в обла</w:t>
      </w:r>
      <w:r>
        <w:rPr>
          <w:rFonts w:ascii="Times New Roman" w:hAnsi="Times New Roman"/>
          <w:sz w:val="28"/>
          <w:szCs w:val="28"/>
        </w:rPr>
        <w:t xml:space="preserve">сти железнодорожного транспорта» (далее – Положение).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</w:t>
      </w:r>
      <w:r>
        <w:rPr>
          <w:rFonts w:ascii="Times New Roman" w:hAnsi="Times New Roman"/>
          <w:sz w:val="28"/>
          <w:szCs w:val="28"/>
        </w:rPr>
        <w:t xml:space="preserve"> Положени</w:t>
      </w:r>
      <w:r>
        <w:rPr>
          <w:rFonts w:ascii="Times New Roman" w:hAnsi="Times New Roman"/>
          <w:sz w:val="28"/>
          <w:szCs w:val="28"/>
        </w:rPr>
        <w:t xml:space="preserve">ю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991 объекты контроля отнесены к одной из категорий риска, теперь их 6: чрезвычайно высокий, высоки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, значительный, средний, умеренный и низкий.  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плановых контрольных (надзорных) мероприятий в отношении объектов контроля контролируемых лиц проводятся в зависимости от присвоенной их деятельности категории риска со следующей периодичностью: 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 выездная проверка в отношении объектов контроля, отнесенных к катег</w:t>
      </w:r>
      <w:r>
        <w:rPr>
          <w:rFonts w:ascii="Times New Roman" w:hAnsi="Times New Roman"/>
          <w:sz w:val="28"/>
          <w:szCs w:val="28"/>
        </w:rPr>
        <w:t xml:space="preserve">ории чрезвычайно высокого риска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один раз в год; 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документарная проверка или выездная проверка в отношении объектов контроля, отнесе</w:t>
      </w:r>
      <w:r>
        <w:rPr>
          <w:rFonts w:ascii="Times New Roman" w:hAnsi="Times New Roman"/>
          <w:sz w:val="28"/>
          <w:szCs w:val="28"/>
        </w:rPr>
        <w:t xml:space="preserve">нных к категории высокого риска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один раз в 2 года; 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документарная проверка или выездная проверка в отношении объектов контроля, отнесенных </w:t>
      </w:r>
      <w:r>
        <w:rPr>
          <w:rFonts w:ascii="Times New Roman" w:hAnsi="Times New Roman"/>
          <w:sz w:val="28"/>
          <w:szCs w:val="28"/>
        </w:rPr>
        <w:t xml:space="preserve">к категории значительного риска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один раз в 3 года; 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инспекционный визит в отношении объектов контроля, отнесе</w:t>
      </w:r>
      <w:r>
        <w:rPr>
          <w:rFonts w:ascii="Times New Roman" w:hAnsi="Times New Roman"/>
          <w:sz w:val="28"/>
          <w:szCs w:val="28"/>
        </w:rPr>
        <w:t xml:space="preserve">нных к категории среднего риска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один раз в 3 года; 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инспекционный визит в отношении объектов контроля, отнесенн</w:t>
      </w:r>
      <w:r>
        <w:rPr>
          <w:rFonts w:ascii="Times New Roman" w:hAnsi="Times New Roman"/>
          <w:sz w:val="28"/>
          <w:szCs w:val="28"/>
        </w:rPr>
        <w:t xml:space="preserve">ых к категории умеренного риска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один раз в 5 лет. 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отношении объектов контроля, отнесенных к категории низкого риска, плановые контрольные (надзорные) мероприятия не проводятся. 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Периодичность проведения контрольных (надзорных) мероприятий изменяется в случае изменения ранее присвоенной объекту контроля категории риска причинения вреда (ущерба). 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</w:t>
      </w:r>
      <w:r>
        <w:rPr>
          <w:rFonts w:ascii="Times New Roman" w:hAnsi="Times New Roman"/>
          <w:sz w:val="28"/>
          <w:szCs w:val="28"/>
        </w:rPr>
        <w:t xml:space="preserve">ведена работа по совершенствованию нормативного правового регулирования вопросов, касающихся проведения расследования транспортных происшествий и иных событий, связанных с нарушением правил безопасности движения и эксплуатации железнодорожного транспорта. </w:t>
      </w:r>
      <w:r>
        <w:rPr>
          <w:rFonts w:ascii="Times New Roman" w:hAnsi="Times New Roman"/>
          <w:sz w:val="28"/>
          <w:szCs w:val="28"/>
        </w:rPr>
        <w:t xml:space="preserve">С 1 сентября в</w:t>
      </w:r>
      <w:r>
        <w:rPr>
          <w:rFonts w:ascii="Times New Roman" w:hAnsi="Times New Roman"/>
          <w:sz w:val="28"/>
          <w:szCs w:val="28"/>
        </w:rPr>
        <w:t xml:space="preserve">ступил в действие</w:t>
      </w: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риказ Минтранса России от 18.12.2014 г. № 344 «Об утверждении Положения о классификации, порядке расследования и учета транспортных происшествий и иных событий, связанных с нарушением правил безопасности движения и эксплуатации железнодорожного транспорта»</w:t>
      </w:r>
      <w:r>
        <w:rPr>
          <w:rFonts w:ascii="Times New Roman" w:hAnsi="Times New Roman"/>
          <w:sz w:val="28"/>
          <w:szCs w:val="28"/>
        </w:rPr>
        <w:t xml:space="preserve"> с изменениями</w:t>
      </w:r>
      <w:r>
        <w:rPr>
          <w:rFonts w:ascii="Times New Roman" w:hAnsi="Times New Roman"/>
          <w:sz w:val="28"/>
          <w:szCs w:val="28"/>
        </w:rPr>
        <w:t xml:space="preserve"> в части: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установления обязанностей владельцев железнодорожных путей необщего пользования организовывать и проводить расследования событий, допущенных на путях необщего пользования;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проведения субъектами железнодорожного транспорта расследования </w:t>
      </w:r>
      <w:r>
        <w:rPr>
          <w:rFonts w:ascii="Times New Roman" w:hAnsi="Times New Roman"/>
          <w:sz w:val="28"/>
          <w:szCs w:val="28"/>
        </w:rPr>
        <w:t xml:space="preserve">случаев отцепки вагона с опасным грузом в пути следования на перегонах ил</w:t>
      </w:r>
      <w:r>
        <w:rPr>
          <w:rFonts w:ascii="Times New Roman" w:hAnsi="Times New Roman"/>
          <w:sz w:val="28"/>
          <w:szCs w:val="28"/>
        </w:rPr>
        <w:t xml:space="preserve">и железнодорожных станциях из - </w:t>
      </w:r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  <w:t xml:space="preserve">за технические неисправности</w:t>
      </w:r>
      <w:r>
        <w:rPr>
          <w:rFonts w:ascii="Times New Roman" w:hAnsi="Times New Roman"/>
          <w:sz w:val="28"/>
          <w:szCs w:val="28"/>
        </w:rPr>
        <w:t xml:space="preserve"> вагона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расследования случаев излома (обрыва) деталей железнодорожного подвижного состава.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 марта 2023 года Минюстом России зарегистрирован Приказ Ространснадзора от 23.12.2022 № ВБ-591фс «Об утверждении форм проверочных листов (списков контрольных вопросов, ответы на которые свидетельствуют о соблюдении или не</w:t>
      </w:r>
      <w:r>
        <w:rPr>
          <w:rFonts w:ascii="Times New Roman" w:hAnsi="Times New Roman"/>
          <w:sz w:val="28"/>
          <w:szCs w:val="28"/>
        </w:rPr>
        <w:t xml:space="preserve">соблюдении контролируемым лицом обязательных требований), применяемых Федеральной службой по надзору в сфере транспорта и ее территориальными органами при осуществлении федерального государственного контроля (надзора) в области железнодорожного транспорта»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Разработка новых чек-листов потребовалась в связи со вступлением в силу с 1 августа 2022 года приказа Минтранса России от 23.06.2022 № 250 «Об утверждении Правил технической эксплуатации железных дорог Российской Федерации»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Ознакомиться с новыми проверочными листами можно по ссылке</w:t>
      </w:r>
      <w:r>
        <w:rPr>
          <w:rFonts w:ascii="Times New Roman" w:hAnsi="Times New Roman"/>
          <w:sz w:val="28"/>
          <w:szCs w:val="28"/>
        </w:rPr>
        <w:t xml:space="preserve"> на сайте Ространснадзора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-567"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Публичное обсуждение проекта обзора результатов обобщения и анализа правоприменительной практики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.</w:t>
      </w:r>
      <w:r>
        <w:rPr>
          <w:rFonts w:ascii="Times New Roman" w:hAnsi="Times New Roman"/>
          <w:b/>
          <w:sz w:val="28"/>
          <w:szCs w:val="28"/>
          <w:u w:val="single"/>
        </w:rPr>
      </w:r>
      <w:r>
        <w:rPr>
          <w:rFonts w:ascii="Times New Roman" w:hAnsi="Times New Roman"/>
          <w:b/>
          <w:sz w:val="28"/>
          <w:szCs w:val="28"/>
          <w:u w:val="single"/>
        </w:rPr>
      </w:r>
    </w:p>
    <w:p>
      <w:pPr>
        <w:ind w:left="-567"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left="-567"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предложений и замечаний по проекту обзора результатов обобщения и анализа правоприменительной практики при организации и осуществлении федерального государственного железнодорожного надзора должностными лицами управления осу</w:t>
      </w:r>
      <w:r>
        <w:rPr>
          <w:rFonts w:ascii="Times New Roman" w:hAnsi="Times New Roman"/>
          <w:sz w:val="28"/>
          <w:szCs w:val="28"/>
        </w:rPr>
        <w:t xml:space="preserve">ществляется по адресу: 603952, </w:t>
      </w:r>
      <w:r>
        <w:rPr>
          <w:rFonts w:ascii="Times New Roman" w:hAnsi="Times New Roman"/>
          <w:sz w:val="28"/>
          <w:szCs w:val="28"/>
        </w:rPr>
        <w:t xml:space="preserve">Нижегородская область, г. Нижний Новгород, ул. Удмуртская д. 4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E-mail: </w:t>
      </w:r>
      <w:hyperlink r:id="rId10" w:tooltip="mailto:mtu@pfo.rostransnadzor.gov.ru" w:history="1">
        <w:r>
          <w:rPr>
            <w:rStyle w:val="913"/>
            <w:rFonts w:ascii="Times New Roman" w:hAnsi="Times New Roman"/>
            <w:sz w:val="28"/>
            <w:szCs w:val="28"/>
          </w:rPr>
          <w:t xml:space="preserve">mtu@pfo.rostransnadzor.gov.ru</w:t>
        </w:r>
      </w:hyperlink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707" w:bottom="709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803050406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4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646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718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790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862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934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1006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078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1508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862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2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8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6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2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8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353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018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38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58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78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98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18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38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58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6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2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8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6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2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8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115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7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9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1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3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5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7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9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15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bullet"/>
      <w:pStyle w:val="924"/>
      <w:isLgl w:val="false"/>
      <w:suff w:val="tab"/>
      <w:lvlText w:val=""/>
      <w:lvlJc w:val="left"/>
      <w:pPr>
        <w:ind w:left="137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2017"/>
      <w:numFmt w:val="decimal"/>
      <w:isLgl w:val="false"/>
      <w:suff w:val="tab"/>
      <w:lvlText w:val="%1"/>
      <w:lvlJc w:val="left"/>
      <w:pPr>
        <w:ind w:left="960" w:hanging="6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95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151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23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5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7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9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1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3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5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75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862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2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8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2955" w:hanging="1395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515" w:hanging="1395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895" w:hanging="1395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275" w:hanging="1395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7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8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9"/>
  </w:num>
  <w:num w:numId="5">
    <w:abstractNumId w:val="23"/>
  </w:num>
  <w:num w:numId="6">
    <w:abstractNumId w:val="9"/>
  </w:num>
  <w:num w:numId="7">
    <w:abstractNumId w:val="19"/>
  </w:num>
  <w:num w:numId="8">
    <w:abstractNumId w:val="1"/>
  </w:num>
  <w:num w:numId="9">
    <w:abstractNumId w:val="17"/>
  </w:num>
  <w:num w:numId="10">
    <w:abstractNumId w:val="6"/>
  </w:num>
  <w:num w:numId="11">
    <w:abstractNumId w:val="1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2"/>
  </w:num>
  <w:num w:numId="15">
    <w:abstractNumId w:val="20"/>
  </w:num>
  <w:num w:numId="16">
    <w:abstractNumId w:val="28"/>
  </w:num>
  <w:num w:numId="17">
    <w:abstractNumId w:val="7"/>
  </w:num>
  <w:num w:numId="18">
    <w:abstractNumId w:val="4"/>
  </w:num>
  <w:num w:numId="19">
    <w:abstractNumId w:val="25"/>
  </w:num>
  <w:num w:numId="20">
    <w:abstractNumId w:val="30"/>
  </w:num>
  <w:num w:numId="21">
    <w:abstractNumId w:val="8"/>
  </w:num>
  <w:num w:numId="22">
    <w:abstractNumId w:val="9"/>
  </w:num>
  <w:num w:numId="23">
    <w:abstractNumId w:val="21"/>
  </w:num>
  <w:num w:numId="24">
    <w:abstractNumId w:val="16"/>
  </w:num>
  <w:num w:numId="25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11"/>
  </w:num>
  <w:num w:numId="28">
    <w:abstractNumId w:val="10"/>
  </w:num>
  <w:num w:numId="29">
    <w:abstractNumId w:val="18"/>
  </w:num>
  <w:num w:numId="30">
    <w:abstractNumId w:val="26"/>
  </w:num>
  <w:num w:numId="31">
    <w:abstractNumId w:val="24"/>
  </w:num>
  <w:num w:numId="32">
    <w:abstractNumId w:val="12"/>
  </w:num>
  <w:num w:numId="33">
    <w:abstractNumId w:val="27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0">
    <w:name w:val="Heading 1 Char"/>
    <w:basedOn w:val="894"/>
    <w:link w:val="892"/>
    <w:uiPriority w:val="9"/>
    <w:rPr>
      <w:rFonts w:ascii="Arial" w:hAnsi="Arial" w:eastAsia="Arial" w:cs="Arial"/>
      <w:sz w:val="40"/>
      <w:szCs w:val="40"/>
    </w:rPr>
  </w:style>
  <w:style w:type="character" w:styleId="721">
    <w:name w:val="Heading 2 Char"/>
    <w:basedOn w:val="894"/>
    <w:link w:val="893"/>
    <w:uiPriority w:val="9"/>
    <w:rPr>
      <w:rFonts w:ascii="Arial" w:hAnsi="Arial" w:eastAsia="Arial" w:cs="Arial"/>
      <w:sz w:val="34"/>
    </w:rPr>
  </w:style>
  <w:style w:type="paragraph" w:styleId="722">
    <w:name w:val="Heading 3"/>
    <w:basedOn w:val="891"/>
    <w:next w:val="891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3">
    <w:name w:val="Heading 3 Char"/>
    <w:basedOn w:val="894"/>
    <w:link w:val="722"/>
    <w:uiPriority w:val="9"/>
    <w:rPr>
      <w:rFonts w:ascii="Arial" w:hAnsi="Arial" w:eastAsia="Arial" w:cs="Arial"/>
      <w:sz w:val="30"/>
      <w:szCs w:val="30"/>
    </w:rPr>
  </w:style>
  <w:style w:type="paragraph" w:styleId="724">
    <w:name w:val="Heading 4"/>
    <w:basedOn w:val="891"/>
    <w:next w:val="891"/>
    <w:link w:val="7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5">
    <w:name w:val="Heading 4 Char"/>
    <w:basedOn w:val="894"/>
    <w:link w:val="724"/>
    <w:uiPriority w:val="9"/>
    <w:rPr>
      <w:rFonts w:ascii="Arial" w:hAnsi="Arial" w:eastAsia="Arial" w:cs="Arial"/>
      <w:b/>
      <w:bCs/>
      <w:sz w:val="26"/>
      <w:szCs w:val="26"/>
    </w:rPr>
  </w:style>
  <w:style w:type="paragraph" w:styleId="726">
    <w:name w:val="Heading 5"/>
    <w:basedOn w:val="891"/>
    <w:next w:val="891"/>
    <w:link w:val="7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7">
    <w:name w:val="Heading 5 Char"/>
    <w:basedOn w:val="894"/>
    <w:link w:val="726"/>
    <w:uiPriority w:val="9"/>
    <w:rPr>
      <w:rFonts w:ascii="Arial" w:hAnsi="Arial" w:eastAsia="Arial" w:cs="Arial"/>
      <w:b/>
      <w:bCs/>
      <w:sz w:val="24"/>
      <w:szCs w:val="24"/>
    </w:rPr>
  </w:style>
  <w:style w:type="paragraph" w:styleId="728">
    <w:name w:val="Heading 6"/>
    <w:basedOn w:val="891"/>
    <w:next w:val="891"/>
    <w:link w:val="7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9">
    <w:name w:val="Heading 6 Char"/>
    <w:basedOn w:val="894"/>
    <w:link w:val="728"/>
    <w:uiPriority w:val="9"/>
    <w:rPr>
      <w:rFonts w:ascii="Arial" w:hAnsi="Arial" w:eastAsia="Arial" w:cs="Arial"/>
      <w:b/>
      <w:bCs/>
      <w:sz w:val="22"/>
      <w:szCs w:val="22"/>
    </w:rPr>
  </w:style>
  <w:style w:type="paragraph" w:styleId="730">
    <w:name w:val="Heading 7"/>
    <w:basedOn w:val="891"/>
    <w:next w:val="891"/>
    <w:link w:val="7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1">
    <w:name w:val="Heading 7 Char"/>
    <w:basedOn w:val="894"/>
    <w:link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2">
    <w:name w:val="Heading 8"/>
    <w:basedOn w:val="891"/>
    <w:next w:val="891"/>
    <w:link w:val="7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3">
    <w:name w:val="Heading 8 Char"/>
    <w:basedOn w:val="894"/>
    <w:link w:val="732"/>
    <w:uiPriority w:val="9"/>
    <w:rPr>
      <w:rFonts w:ascii="Arial" w:hAnsi="Arial" w:eastAsia="Arial" w:cs="Arial"/>
      <w:i/>
      <w:iCs/>
      <w:sz w:val="22"/>
      <w:szCs w:val="22"/>
    </w:rPr>
  </w:style>
  <w:style w:type="paragraph" w:styleId="734">
    <w:name w:val="Heading 9"/>
    <w:basedOn w:val="891"/>
    <w:next w:val="891"/>
    <w:link w:val="7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5">
    <w:name w:val="Heading 9 Char"/>
    <w:basedOn w:val="894"/>
    <w:link w:val="734"/>
    <w:uiPriority w:val="9"/>
    <w:rPr>
      <w:rFonts w:ascii="Arial" w:hAnsi="Arial" w:eastAsia="Arial" w:cs="Arial"/>
      <w:i/>
      <w:iCs/>
      <w:sz w:val="21"/>
      <w:szCs w:val="21"/>
    </w:rPr>
  </w:style>
  <w:style w:type="paragraph" w:styleId="736">
    <w:name w:val="No Spacing"/>
    <w:uiPriority w:val="1"/>
    <w:qFormat/>
    <w:pPr>
      <w:spacing w:before="0" w:after="0" w:line="240" w:lineRule="auto"/>
    </w:pPr>
  </w:style>
  <w:style w:type="paragraph" w:styleId="737">
    <w:name w:val="Title"/>
    <w:basedOn w:val="891"/>
    <w:next w:val="891"/>
    <w:link w:val="73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8">
    <w:name w:val="Title Char"/>
    <w:basedOn w:val="894"/>
    <w:link w:val="737"/>
    <w:uiPriority w:val="10"/>
    <w:rPr>
      <w:sz w:val="48"/>
      <w:szCs w:val="48"/>
    </w:rPr>
  </w:style>
  <w:style w:type="paragraph" w:styleId="739">
    <w:name w:val="Subtitle"/>
    <w:basedOn w:val="891"/>
    <w:next w:val="891"/>
    <w:link w:val="740"/>
    <w:uiPriority w:val="11"/>
    <w:qFormat/>
    <w:pPr>
      <w:spacing w:before="200" w:after="200"/>
    </w:pPr>
    <w:rPr>
      <w:sz w:val="24"/>
      <w:szCs w:val="24"/>
    </w:rPr>
  </w:style>
  <w:style w:type="character" w:styleId="740">
    <w:name w:val="Subtitle Char"/>
    <w:basedOn w:val="894"/>
    <w:link w:val="739"/>
    <w:uiPriority w:val="11"/>
    <w:rPr>
      <w:sz w:val="24"/>
      <w:szCs w:val="24"/>
    </w:rPr>
  </w:style>
  <w:style w:type="paragraph" w:styleId="741">
    <w:name w:val="Quote"/>
    <w:basedOn w:val="891"/>
    <w:next w:val="891"/>
    <w:link w:val="742"/>
    <w:uiPriority w:val="29"/>
    <w:qFormat/>
    <w:pPr>
      <w:ind w:left="720" w:right="720"/>
    </w:pPr>
    <w:rPr>
      <w:i/>
    </w:rPr>
  </w:style>
  <w:style w:type="character" w:styleId="742">
    <w:name w:val="Quote Char"/>
    <w:link w:val="741"/>
    <w:uiPriority w:val="29"/>
    <w:rPr>
      <w:i/>
    </w:rPr>
  </w:style>
  <w:style w:type="paragraph" w:styleId="743">
    <w:name w:val="Intense Quote"/>
    <w:basedOn w:val="891"/>
    <w:next w:val="891"/>
    <w:link w:val="74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4">
    <w:name w:val="Intense Quote Char"/>
    <w:link w:val="743"/>
    <w:uiPriority w:val="30"/>
    <w:rPr>
      <w:i/>
    </w:rPr>
  </w:style>
  <w:style w:type="character" w:styleId="745">
    <w:name w:val="Header Char"/>
    <w:basedOn w:val="894"/>
    <w:link w:val="904"/>
    <w:uiPriority w:val="99"/>
  </w:style>
  <w:style w:type="character" w:styleId="746">
    <w:name w:val="Footer Char"/>
    <w:basedOn w:val="894"/>
    <w:link w:val="906"/>
    <w:uiPriority w:val="99"/>
  </w:style>
  <w:style w:type="paragraph" w:styleId="747">
    <w:name w:val="Caption"/>
    <w:basedOn w:val="891"/>
    <w:next w:val="891"/>
    <w:link w:val="7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8">
    <w:name w:val="Caption Char"/>
    <w:basedOn w:val="894"/>
    <w:link w:val="747"/>
    <w:uiPriority w:val="35"/>
    <w:rPr>
      <w:b/>
      <w:bCs/>
      <w:color w:val="4f81bd" w:themeColor="accent1"/>
      <w:sz w:val="18"/>
      <w:szCs w:val="18"/>
    </w:rPr>
  </w:style>
  <w:style w:type="table" w:styleId="749">
    <w:name w:val="Table Grid Light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0">
    <w:name w:val="Plain Table 1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1">
    <w:name w:val="Plain Table 2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3">
    <w:name w:val="Plain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Plain Table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5">
    <w:name w:val="Grid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7">
    <w:name w:val="Grid Table 4 - Accent 1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8">
    <w:name w:val="Grid Table 4 - Accent 2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Grid Table 4 - Accent 3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0">
    <w:name w:val="Grid Table 4 - Accent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Grid Table 4 - Accent 5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2">
    <w:name w:val="Grid Table 4 - Accent 6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3">
    <w:name w:val="Grid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4">
    <w:name w:val="Grid Table 5 Dark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0">
    <w:name w:val="Grid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1">
    <w:name w:val="Grid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2">
    <w:name w:val="Grid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3">
    <w:name w:val="Grid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4">
    <w:name w:val="Grid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5">
    <w:name w:val="Grid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6">
    <w:name w:val="Grid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7">
    <w:name w:val="Grid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2">
    <w:name w:val="List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3">
    <w:name w:val="List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4">
    <w:name w:val="List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5">
    <w:name w:val="List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6">
    <w:name w:val="List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7">
    <w:name w:val="List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8">
    <w:name w:val="List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0">
    <w:name w:val="List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1">
    <w:name w:val="List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2">
    <w:name w:val="List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3">
    <w:name w:val="List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4">
    <w:name w:val="List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5">
    <w:name w:val="List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6">
    <w:name w:val="List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7">
    <w:name w:val="List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8">
    <w:name w:val="List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9">
    <w:name w:val="List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0">
    <w:name w:val="List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1">
    <w:name w:val="List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2">
    <w:name w:val="List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3">
    <w:name w:val="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4">
    <w:name w:val="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5">
    <w:name w:val="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6">
    <w:name w:val="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7">
    <w:name w:val="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8">
    <w:name w:val="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9">
    <w:name w:val="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0">
    <w:name w:val="Bordered &amp; 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1">
    <w:name w:val="Bordered &amp; 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2">
    <w:name w:val="Bordered &amp; 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3">
    <w:name w:val="Bordered &amp; 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4">
    <w:name w:val="Bordered &amp; 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5">
    <w:name w:val="Bordered &amp; 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6">
    <w:name w:val="Bordered &amp; 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7">
    <w:name w:val="Bordered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8">
    <w:name w:val="Bordered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9">
    <w:name w:val="Bordered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0">
    <w:name w:val="Bordered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1">
    <w:name w:val="Bordered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2">
    <w:name w:val="Bordered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3">
    <w:name w:val="Bordered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4">
    <w:name w:val="footnote text"/>
    <w:basedOn w:val="891"/>
    <w:link w:val="875"/>
    <w:uiPriority w:val="99"/>
    <w:semiHidden/>
    <w:unhideWhenUsed/>
    <w:pPr>
      <w:spacing w:after="40" w:line="240" w:lineRule="auto"/>
    </w:pPr>
    <w:rPr>
      <w:sz w:val="18"/>
    </w:rPr>
  </w:style>
  <w:style w:type="character" w:styleId="875">
    <w:name w:val="Footnote Text Char"/>
    <w:link w:val="874"/>
    <w:uiPriority w:val="99"/>
    <w:rPr>
      <w:sz w:val="18"/>
    </w:rPr>
  </w:style>
  <w:style w:type="character" w:styleId="876">
    <w:name w:val="footnote reference"/>
    <w:basedOn w:val="894"/>
    <w:uiPriority w:val="99"/>
    <w:unhideWhenUsed/>
    <w:rPr>
      <w:vertAlign w:val="superscript"/>
    </w:rPr>
  </w:style>
  <w:style w:type="paragraph" w:styleId="877">
    <w:name w:val="endnote text"/>
    <w:basedOn w:val="891"/>
    <w:link w:val="878"/>
    <w:uiPriority w:val="99"/>
    <w:semiHidden/>
    <w:unhideWhenUsed/>
    <w:pPr>
      <w:spacing w:after="0" w:line="240" w:lineRule="auto"/>
    </w:pPr>
    <w:rPr>
      <w:sz w:val="20"/>
    </w:rPr>
  </w:style>
  <w:style w:type="character" w:styleId="878">
    <w:name w:val="Endnote Text Char"/>
    <w:link w:val="877"/>
    <w:uiPriority w:val="99"/>
    <w:rPr>
      <w:sz w:val="20"/>
    </w:rPr>
  </w:style>
  <w:style w:type="character" w:styleId="879">
    <w:name w:val="endnote reference"/>
    <w:basedOn w:val="894"/>
    <w:uiPriority w:val="99"/>
    <w:semiHidden/>
    <w:unhideWhenUsed/>
    <w:rPr>
      <w:vertAlign w:val="superscript"/>
    </w:rPr>
  </w:style>
  <w:style w:type="paragraph" w:styleId="880">
    <w:name w:val="toc 1"/>
    <w:basedOn w:val="891"/>
    <w:next w:val="891"/>
    <w:uiPriority w:val="39"/>
    <w:unhideWhenUsed/>
    <w:pPr>
      <w:ind w:left="0" w:right="0" w:firstLine="0"/>
      <w:spacing w:after="57"/>
    </w:pPr>
  </w:style>
  <w:style w:type="paragraph" w:styleId="881">
    <w:name w:val="toc 2"/>
    <w:basedOn w:val="891"/>
    <w:next w:val="891"/>
    <w:uiPriority w:val="39"/>
    <w:unhideWhenUsed/>
    <w:pPr>
      <w:ind w:left="283" w:right="0" w:firstLine="0"/>
      <w:spacing w:after="57"/>
    </w:pPr>
  </w:style>
  <w:style w:type="paragraph" w:styleId="882">
    <w:name w:val="toc 3"/>
    <w:basedOn w:val="891"/>
    <w:next w:val="891"/>
    <w:uiPriority w:val="39"/>
    <w:unhideWhenUsed/>
    <w:pPr>
      <w:ind w:left="567" w:right="0" w:firstLine="0"/>
      <w:spacing w:after="57"/>
    </w:pPr>
  </w:style>
  <w:style w:type="paragraph" w:styleId="883">
    <w:name w:val="toc 4"/>
    <w:basedOn w:val="891"/>
    <w:next w:val="891"/>
    <w:uiPriority w:val="39"/>
    <w:unhideWhenUsed/>
    <w:pPr>
      <w:ind w:left="850" w:right="0" w:firstLine="0"/>
      <w:spacing w:after="57"/>
    </w:pPr>
  </w:style>
  <w:style w:type="paragraph" w:styleId="884">
    <w:name w:val="toc 5"/>
    <w:basedOn w:val="891"/>
    <w:next w:val="891"/>
    <w:uiPriority w:val="39"/>
    <w:unhideWhenUsed/>
    <w:pPr>
      <w:ind w:left="1134" w:right="0" w:firstLine="0"/>
      <w:spacing w:after="57"/>
    </w:pPr>
  </w:style>
  <w:style w:type="paragraph" w:styleId="885">
    <w:name w:val="toc 6"/>
    <w:basedOn w:val="891"/>
    <w:next w:val="891"/>
    <w:uiPriority w:val="39"/>
    <w:unhideWhenUsed/>
    <w:pPr>
      <w:ind w:left="1417" w:right="0" w:firstLine="0"/>
      <w:spacing w:after="57"/>
    </w:pPr>
  </w:style>
  <w:style w:type="paragraph" w:styleId="886">
    <w:name w:val="toc 7"/>
    <w:basedOn w:val="891"/>
    <w:next w:val="891"/>
    <w:uiPriority w:val="39"/>
    <w:unhideWhenUsed/>
    <w:pPr>
      <w:ind w:left="1701" w:right="0" w:firstLine="0"/>
      <w:spacing w:after="57"/>
    </w:pPr>
  </w:style>
  <w:style w:type="paragraph" w:styleId="887">
    <w:name w:val="toc 8"/>
    <w:basedOn w:val="891"/>
    <w:next w:val="891"/>
    <w:uiPriority w:val="39"/>
    <w:unhideWhenUsed/>
    <w:pPr>
      <w:ind w:left="1984" w:right="0" w:firstLine="0"/>
      <w:spacing w:after="57"/>
    </w:pPr>
  </w:style>
  <w:style w:type="paragraph" w:styleId="888">
    <w:name w:val="toc 9"/>
    <w:basedOn w:val="891"/>
    <w:next w:val="891"/>
    <w:uiPriority w:val="39"/>
    <w:unhideWhenUsed/>
    <w:pPr>
      <w:ind w:left="2268" w:right="0" w:firstLine="0"/>
      <w:spacing w:after="57"/>
    </w:pPr>
  </w:style>
  <w:style w:type="paragraph" w:styleId="889">
    <w:name w:val="TOC Heading"/>
    <w:uiPriority w:val="39"/>
    <w:unhideWhenUsed/>
  </w:style>
  <w:style w:type="paragraph" w:styleId="890">
    <w:name w:val="table of figures"/>
    <w:basedOn w:val="891"/>
    <w:next w:val="891"/>
    <w:uiPriority w:val="99"/>
    <w:unhideWhenUsed/>
    <w:pPr>
      <w:spacing w:after="0" w:afterAutospacing="0"/>
    </w:pPr>
  </w:style>
  <w:style w:type="paragraph" w:styleId="891" w:default="1">
    <w:name w:val="Normal"/>
    <w:qFormat/>
    <w:rPr>
      <w:rFonts w:ascii="Calibri" w:hAnsi="Calibri" w:eastAsia="Calibri" w:cs="Times New Roman"/>
    </w:rPr>
  </w:style>
  <w:style w:type="paragraph" w:styleId="892">
    <w:name w:val="Heading 1"/>
    <w:basedOn w:val="891"/>
    <w:next w:val="891"/>
    <w:link w:val="908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93">
    <w:name w:val="Heading 2"/>
    <w:basedOn w:val="891"/>
    <w:next w:val="891"/>
    <w:link w:val="901"/>
    <w:uiPriority w:val="9"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894" w:default="1">
    <w:name w:val="Default Paragraph Font"/>
    <w:uiPriority w:val="1"/>
    <w:semiHidden/>
    <w:unhideWhenUsed/>
  </w:style>
  <w:style w:type="table" w:styleId="89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6" w:default="1">
    <w:name w:val="No List"/>
    <w:uiPriority w:val="99"/>
    <w:semiHidden/>
    <w:unhideWhenUsed/>
  </w:style>
  <w:style w:type="paragraph" w:styleId="897">
    <w:name w:val="List Paragraph"/>
    <w:basedOn w:val="891"/>
    <w:link w:val="917"/>
    <w:uiPriority w:val="34"/>
    <w:qFormat/>
    <w:pPr>
      <w:contextualSpacing/>
      <w:ind w:left="720"/>
    </w:pPr>
  </w:style>
  <w:style w:type="character" w:styleId="898" w:customStyle="1">
    <w:name w:val="Основной текст (7)_"/>
    <w:basedOn w:val="894"/>
    <w:link w:val="900"/>
    <w:rPr>
      <w:rFonts w:ascii="Times New Roman" w:hAnsi="Times New Roman" w:eastAsia="Times New Roman" w:cs="Times New Roman"/>
      <w:b/>
      <w:bCs/>
      <w:i/>
      <w:iCs/>
      <w:sz w:val="28"/>
      <w:szCs w:val="28"/>
      <w:shd w:val="clear" w:color="auto" w:fill="ffffff"/>
    </w:rPr>
  </w:style>
  <w:style w:type="character" w:styleId="899" w:customStyle="1">
    <w:name w:val="Основной текст (7) + 27 pt;Не курсив"/>
    <w:basedOn w:val="898"/>
    <w:rPr>
      <w:rFonts w:ascii="Times New Roman" w:hAnsi="Times New Roman" w:eastAsia="Times New Roman" w:cs="Times New Roman"/>
      <w:b/>
      <w:bCs/>
      <w:i/>
      <w:iCs/>
      <w:color w:val="000000"/>
      <w:spacing w:val="0"/>
      <w:position w:val="0"/>
      <w:sz w:val="54"/>
      <w:szCs w:val="54"/>
      <w:shd w:val="clear" w:color="auto" w:fill="ffffff"/>
      <w:lang w:val="ru-RU" w:eastAsia="ru-RU" w:bidi="ru-RU"/>
    </w:rPr>
  </w:style>
  <w:style w:type="paragraph" w:styleId="900" w:customStyle="1">
    <w:name w:val="Основной текст (7)"/>
    <w:basedOn w:val="891"/>
    <w:link w:val="898"/>
    <w:pPr>
      <w:ind w:firstLine="740"/>
      <w:jc w:val="both"/>
      <w:spacing w:before="300" w:after="120" w:line="370" w:lineRule="exact"/>
      <w:shd w:val="clear" w:color="auto" w:fill="ffffff"/>
      <w:widowControl w:val="off"/>
    </w:pPr>
    <w:rPr>
      <w:rFonts w:ascii="Times New Roman" w:hAnsi="Times New Roman" w:eastAsia="Times New Roman"/>
      <w:b/>
      <w:bCs/>
      <w:i/>
      <w:iCs/>
      <w:sz w:val="28"/>
      <w:szCs w:val="28"/>
    </w:rPr>
  </w:style>
  <w:style w:type="character" w:styleId="901" w:customStyle="1">
    <w:name w:val="Заголовок 2 Знак"/>
    <w:basedOn w:val="894"/>
    <w:link w:val="89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902">
    <w:name w:val="Balloon Text"/>
    <w:basedOn w:val="891"/>
    <w:link w:val="90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03" w:customStyle="1">
    <w:name w:val="Текст выноски Знак"/>
    <w:basedOn w:val="894"/>
    <w:link w:val="902"/>
    <w:uiPriority w:val="99"/>
    <w:semiHidden/>
    <w:rPr>
      <w:rFonts w:ascii="Tahoma" w:hAnsi="Tahoma" w:eastAsia="Calibri" w:cs="Tahoma"/>
      <w:sz w:val="16"/>
      <w:szCs w:val="16"/>
    </w:rPr>
  </w:style>
  <w:style w:type="paragraph" w:styleId="904">
    <w:name w:val="Header"/>
    <w:basedOn w:val="891"/>
    <w:link w:val="90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5" w:customStyle="1">
    <w:name w:val="Верхний колонтитул Знак"/>
    <w:basedOn w:val="894"/>
    <w:link w:val="904"/>
    <w:uiPriority w:val="99"/>
    <w:rPr>
      <w:rFonts w:ascii="Calibri" w:hAnsi="Calibri" w:eastAsia="Calibri" w:cs="Times New Roman"/>
    </w:rPr>
  </w:style>
  <w:style w:type="paragraph" w:styleId="906">
    <w:name w:val="Footer"/>
    <w:basedOn w:val="891"/>
    <w:link w:val="90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7" w:customStyle="1">
    <w:name w:val="Нижний колонтитул Знак"/>
    <w:basedOn w:val="894"/>
    <w:link w:val="906"/>
    <w:uiPriority w:val="99"/>
    <w:rPr>
      <w:rFonts w:ascii="Calibri" w:hAnsi="Calibri" w:eastAsia="Calibri" w:cs="Times New Roman"/>
    </w:rPr>
  </w:style>
  <w:style w:type="character" w:styleId="908" w:customStyle="1">
    <w:name w:val="Заголовок 1 Знак"/>
    <w:basedOn w:val="894"/>
    <w:link w:val="892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909" w:customStyle="1">
    <w:name w:val="Основной текст (2)_"/>
    <w:basedOn w:val="894"/>
    <w:link w:val="91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10" w:customStyle="1">
    <w:name w:val="Основной текст (2)"/>
    <w:basedOn w:val="891"/>
    <w:link w:val="909"/>
    <w:pPr>
      <w:ind w:firstLine="652"/>
      <w:jc w:val="right"/>
      <w:spacing w:after="0" w:line="0" w:lineRule="atLeast"/>
      <w:shd w:val="clear" w:color="auto" w:fill="ffffff"/>
      <w:widowControl w:val="off"/>
    </w:pPr>
    <w:rPr>
      <w:rFonts w:ascii="Times New Roman" w:hAnsi="Times New Roman" w:eastAsia="Times New Roman"/>
      <w:sz w:val="28"/>
      <w:szCs w:val="28"/>
    </w:rPr>
  </w:style>
  <w:style w:type="character" w:styleId="911" w:customStyle="1">
    <w:name w:val="Заголовок №1_"/>
    <w:link w:val="912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paragraph" w:styleId="912" w:customStyle="1">
    <w:name w:val="Заголовок №1"/>
    <w:basedOn w:val="891"/>
    <w:link w:val="911"/>
    <w:pPr>
      <w:ind w:firstLine="652"/>
      <w:jc w:val="center"/>
      <w:spacing w:before="240" w:after="540" w:line="370" w:lineRule="exact"/>
      <w:shd w:val="clear" w:color="auto" w:fill="ffffff"/>
      <w:widowControl w:val="off"/>
      <w:outlineLvl w:val="0"/>
    </w:pPr>
    <w:rPr>
      <w:rFonts w:ascii="Times New Roman" w:hAnsi="Times New Roman" w:eastAsia="Times New Roman"/>
      <w:b/>
      <w:bCs/>
      <w:sz w:val="28"/>
      <w:szCs w:val="28"/>
    </w:rPr>
  </w:style>
  <w:style w:type="character" w:styleId="913">
    <w:name w:val="Hyperlink"/>
    <w:basedOn w:val="894"/>
    <w:uiPriority w:val="99"/>
    <w:unhideWhenUsed/>
    <w:rPr>
      <w:color w:val="0000ff" w:themeColor="hyperlink"/>
      <w:u w:val="single"/>
    </w:rPr>
  </w:style>
  <w:style w:type="character" w:styleId="914" w:customStyle="1">
    <w:name w:val="Основной текст1"/>
    <w:basedOn w:val="89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4"/>
      <w:position w:val="0"/>
      <w:sz w:val="24"/>
      <w:szCs w:val="24"/>
      <w:u w:val="none"/>
      <w:lang w:val="ru-RU" w:eastAsia="ru-RU" w:bidi="ru-RU"/>
    </w:rPr>
  </w:style>
  <w:style w:type="character" w:styleId="915" w:customStyle="1">
    <w:name w:val="Основной текст_"/>
    <w:basedOn w:val="894"/>
    <w:link w:val="916"/>
    <w:rPr>
      <w:rFonts w:ascii="Times New Roman" w:hAnsi="Times New Roman" w:eastAsia="Times New Roman" w:cs="Times New Roman"/>
      <w:spacing w:val="4"/>
      <w:shd w:val="clear" w:color="auto" w:fill="ffffff"/>
    </w:rPr>
  </w:style>
  <w:style w:type="paragraph" w:styleId="916" w:customStyle="1">
    <w:name w:val="Основной текст6"/>
    <w:basedOn w:val="891"/>
    <w:link w:val="915"/>
    <w:pPr>
      <w:jc w:val="both"/>
      <w:spacing w:before="420" w:after="300" w:line="322" w:lineRule="exact"/>
      <w:shd w:val="clear" w:color="auto" w:fill="ffffff"/>
      <w:widowControl w:val="off"/>
    </w:pPr>
    <w:rPr>
      <w:rFonts w:ascii="Times New Roman" w:hAnsi="Times New Roman" w:eastAsia="Times New Roman"/>
      <w:spacing w:val="4"/>
    </w:rPr>
  </w:style>
  <w:style w:type="character" w:styleId="917" w:customStyle="1">
    <w:name w:val="Абзац списка Знак"/>
    <w:link w:val="897"/>
    <w:uiPriority w:val="34"/>
    <w:rPr>
      <w:rFonts w:ascii="Calibri" w:hAnsi="Calibri" w:eastAsia="Calibri" w:cs="Times New Roman"/>
    </w:rPr>
  </w:style>
  <w:style w:type="table" w:styleId="918">
    <w:name w:val="Table Grid"/>
    <w:basedOn w:val="89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9">
    <w:name w:val="Normal (Web)"/>
    <w:basedOn w:val="891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0" w:customStyle="1">
    <w:name w:val="paragraph"/>
    <w:basedOn w:val="891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21" w:customStyle="1">
    <w:name w:val="normaltextrun"/>
    <w:basedOn w:val="894"/>
  </w:style>
  <w:style w:type="character" w:styleId="922" w:customStyle="1">
    <w:name w:val="eop"/>
    <w:basedOn w:val="894"/>
  </w:style>
  <w:style w:type="character" w:styleId="923" w:customStyle="1">
    <w:name w:val="contextualspellingandgrammarerror"/>
    <w:basedOn w:val="894"/>
  </w:style>
  <w:style w:type="paragraph" w:styleId="924" w:customStyle="1">
    <w:name w:val="Перечисление"/>
    <w:basedOn w:val="897"/>
    <w:link w:val="925"/>
    <w:qFormat/>
    <w:pPr>
      <w:numPr>
        <w:ilvl w:val="0"/>
        <w:numId w:val="23"/>
      </w:numPr>
      <w:ind w:left="0" w:firstLine="709"/>
      <w:jc w:val="both"/>
      <w:spacing w:after="0" w:line="360" w:lineRule="auto"/>
      <w:shd w:val="clear" w:color="auto" w:fill="ffffff"/>
      <w:widowControl w:val="off"/>
      <w:tabs>
        <w:tab w:val="left" w:pos="1134" w:leader="none"/>
      </w:tabs>
    </w:pPr>
    <w:rPr>
      <w:rFonts w:ascii="Times New Roman" w:hAnsi="Times New Roman" w:eastAsia="Times New Roman"/>
      <w:color w:val="000000"/>
      <w:sz w:val="28"/>
      <w:szCs w:val="28"/>
    </w:rPr>
  </w:style>
  <w:style w:type="character" w:styleId="925" w:customStyle="1">
    <w:name w:val="Перечисление Знак"/>
    <w:basedOn w:val="917"/>
    <w:link w:val="924"/>
    <w:rPr>
      <w:rFonts w:ascii="Times New Roman" w:hAnsi="Times New Roman" w:eastAsia="Times New Roman" w:cs="Times New Roman"/>
      <w:color w:val="000000"/>
      <w:sz w:val="28"/>
      <w:szCs w:val="28"/>
      <w:shd w:val="clear" w:color="auto" w:fill="ffffff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mailto:mtu@pfo.rostransnadzor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headobd</dc:creator>
  <cp:lastModifiedBy>user</cp:lastModifiedBy>
  <cp:revision>14</cp:revision>
  <dcterms:created xsi:type="dcterms:W3CDTF">2024-02-12T05:41:00Z</dcterms:created>
  <dcterms:modified xsi:type="dcterms:W3CDTF">2025-05-21T11:57:31Z</dcterms:modified>
</cp:coreProperties>
</file>